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spacing w:before="72" w:beforeLines="30" w:after="72" w:afterLines="30" w:line="288" w:lineRule="auto"/>
        <w:rPr>
          <w:rFonts w:eastAsia="宋体"/>
          <w:color w:val="auto"/>
          <w:sz w:val="22"/>
          <w:lang w:eastAsia="zh-CN"/>
        </w:rPr>
      </w:pPr>
      <w:r>
        <w:rPr>
          <w:color w:val="auto"/>
          <w:sz w:val="22"/>
        </w:rPr>
        <w:t>3GPP TSG RAN WG1 Meeting #1</w:t>
      </w:r>
      <w:r>
        <w:rPr>
          <w:rFonts w:hint="eastAsia"/>
          <w:color w:val="auto"/>
          <w:sz w:val="22"/>
        </w:rPr>
        <w:t>1</w:t>
      </w:r>
      <w:r>
        <w:rPr>
          <w:rFonts w:hint="eastAsia" w:eastAsia="宋体"/>
          <w:color w:val="auto"/>
          <w:sz w:val="22"/>
          <w:lang w:eastAsia="zh-CN"/>
        </w:rPr>
        <w:t>9</w:t>
      </w:r>
      <w:r>
        <w:rPr>
          <w:rFonts w:ascii="Times New Roman" w:hAnsi="Times New Roman"/>
          <w:color w:val="auto"/>
          <w:sz w:val="22"/>
        </w:rPr>
        <w:tab/>
      </w:r>
      <w:r>
        <w:rPr>
          <w:rFonts w:hint="eastAsia" w:eastAsia="宋体"/>
          <w:color w:val="auto"/>
          <w:sz w:val="22"/>
          <w:lang w:eastAsia="zh-CN"/>
        </w:rPr>
        <w:t>R1-2409482</w:t>
      </w:r>
    </w:p>
    <w:p>
      <w:pPr>
        <w:snapToGrid w:val="0"/>
        <w:spacing w:before="72" w:beforeLines="30" w:after="72" w:afterLines="30" w:line="288" w:lineRule="auto"/>
        <w:rPr>
          <w:rFonts w:ascii="Arial" w:hAnsi="Arial"/>
          <w:b/>
          <w:color w:val="auto"/>
          <w:sz w:val="22"/>
          <w:lang w:eastAsia="ja-JP"/>
        </w:rPr>
      </w:pPr>
      <w:r>
        <w:rPr>
          <w:rFonts w:hint="eastAsia" w:ascii="Arial" w:hAnsi="Arial"/>
          <w:b/>
          <w:color w:val="auto"/>
          <w:sz w:val="22"/>
          <w:lang w:eastAsia="ja-JP"/>
        </w:rPr>
        <w:t>Orlando, US, November 18</w:t>
      </w:r>
      <w:r>
        <w:rPr>
          <w:rFonts w:hint="eastAsia" w:ascii="Arial" w:hAnsi="Arial"/>
          <w:b/>
          <w:color w:val="auto"/>
          <w:sz w:val="22"/>
          <w:vertAlign w:val="superscript"/>
          <w:lang w:eastAsia="ja-JP"/>
        </w:rPr>
        <w:t>th</w:t>
      </w:r>
      <w:r>
        <w:rPr>
          <w:rFonts w:hint="eastAsia" w:ascii="Arial" w:hAnsi="Arial"/>
          <w:b/>
          <w:color w:val="auto"/>
          <w:sz w:val="22"/>
          <w:lang w:eastAsia="ja-JP"/>
        </w:rPr>
        <w:t xml:space="preserve"> – 22</w:t>
      </w:r>
      <w:r>
        <w:rPr>
          <w:rFonts w:hint="eastAsia" w:ascii="Arial" w:hAnsi="Arial"/>
          <w:b/>
          <w:color w:val="auto"/>
          <w:sz w:val="22"/>
          <w:vertAlign w:val="superscript"/>
          <w:lang w:eastAsia="ja-JP"/>
        </w:rPr>
        <w:t>nd</w:t>
      </w:r>
      <w:r>
        <w:rPr>
          <w:rFonts w:hint="eastAsia" w:ascii="Arial" w:hAnsi="Arial"/>
          <w:b/>
          <w:color w:val="auto"/>
          <w:sz w:val="22"/>
          <w:lang w:eastAsia="ja-JP"/>
        </w:rPr>
        <w:t>, 2024</w:t>
      </w:r>
    </w:p>
    <w:p>
      <w:pPr>
        <w:snapToGrid w:val="0"/>
        <w:spacing w:before="72" w:beforeLines="30" w:after="72" w:afterLines="30" w:line="288" w:lineRule="auto"/>
        <w:rPr>
          <w:rFonts w:ascii="Arial" w:hAnsi="Arial"/>
          <w:b/>
          <w:color w:val="auto"/>
          <w:sz w:val="22"/>
          <w:lang w:eastAsia="ja-JP"/>
        </w:rPr>
      </w:pPr>
    </w:p>
    <w:p>
      <w:pPr>
        <w:pStyle w:val="19"/>
        <w:tabs>
          <w:tab w:val="left" w:pos="1805"/>
          <w:tab w:val="clear" w:pos="4536"/>
        </w:tabs>
        <w:snapToGrid w:val="0"/>
        <w:spacing w:before="72" w:beforeLines="30" w:after="72" w:afterLines="30" w:line="288" w:lineRule="auto"/>
        <w:ind w:left="1803" w:hanging="1803"/>
        <w:rPr>
          <w:rFonts w:ascii="Times New Roman" w:hAnsi="Times New Roman"/>
          <w:color w:val="auto"/>
          <w:sz w:val="22"/>
        </w:rPr>
      </w:pPr>
      <w:r>
        <w:rPr>
          <w:color w:val="auto"/>
          <w:sz w:val="22"/>
        </w:rPr>
        <w:t>Source:</w:t>
      </w:r>
      <w:r>
        <w:rPr>
          <w:rFonts w:ascii="Times New Roman" w:hAnsi="Times New Roman"/>
          <w:color w:val="auto"/>
          <w:sz w:val="22"/>
        </w:rPr>
        <w:tab/>
      </w:r>
      <w:r>
        <w:rPr>
          <w:color w:val="auto"/>
          <w:sz w:val="22"/>
        </w:rPr>
        <w:t>ZTE Corporation, Sanechips</w:t>
      </w:r>
    </w:p>
    <w:p>
      <w:pPr>
        <w:pStyle w:val="19"/>
        <w:tabs>
          <w:tab w:val="left" w:pos="1800"/>
        </w:tabs>
        <w:snapToGrid w:val="0"/>
        <w:spacing w:before="72" w:beforeLines="30" w:after="72" w:afterLines="30" w:line="288" w:lineRule="auto"/>
        <w:ind w:left="1833" w:hanging="1833" w:hangingChars="833"/>
        <w:rPr>
          <w:rFonts w:ascii="Times New Roman" w:hAnsi="Times New Roman"/>
          <w:color w:val="auto"/>
          <w:sz w:val="22"/>
        </w:rPr>
      </w:pPr>
      <w:r>
        <w:rPr>
          <w:color w:val="auto"/>
          <w:sz w:val="22"/>
        </w:rPr>
        <w:t>Title:</w:t>
      </w:r>
      <w:r>
        <w:rPr>
          <w:rFonts w:ascii="Times New Roman" w:hAnsi="Times New Roman"/>
          <w:color w:val="auto"/>
          <w:sz w:val="22"/>
        </w:rPr>
        <w:tab/>
      </w:r>
      <w:r>
        <w:rPr>
          <w:color w:val="auto"/>
          <w:sz w:val="22"/>
        </w:rPr>
        <w:t>Discussion on study for AI/ML CSI compression</w:t>
      </w:r>
    </w:p>
    <w:p>
      <w:pPr>
        <w:pStyle w:val="19"/>
        <w:tabs>
          <w:tab w:val="left" w:pos="1800"/>
        </w:tabs>
        <w:snapToGrid w:val="0"/>
        <w:spacing w:before="72" w:beforeLines="30" w:after="72" w:afterLines="30" w:line="288" w:lineRule="auto"/>
        <w:rPr>
          <w:rFonts w:ascii="Times New Roman" w:hAnsi="Times New Roman"/>
          <w:color w:val="auto"/>
          <w:sz w:val="22"/>
        </w:rPr>
      </w:pPr>
      <w:r>
        <w:rPr>
          <w:color w:val="auto"/>
          <w:sz w:val="22"/>
        </w:rPr>
        <w:t>Agenda Item:</w:t>
      </w:r>
      <w:r>
        <w:rPr>
          <w:rFonts w:ascii="Times New Roman" w:hAnsi="Times New Roman"/>
          <w:color w:val="auto"/>
          <w:sz w:val="22"/>
        </w:rPr>
        <w:tab/>
      </w:r>
      <w:r>
        <w:rPr>
          <w:rFonts w:eastAsia="宋体"/>
          <w:color w:val="auto"/>
          <w:sz w:val="22"/>
          <w:lang w:eastAsia="zh-CN"/>
        </w:rPr>
        <w:t>9.1.</w:t>
      </w:r>
      <w:r>
        <w:rPr>
          <w:rFonts w:hint="eastAsia" w:eastAsia="宋体"/>
          <w:color w:val="auto"/>
          <w:sz w:val="22"/>
          <w:lang w:eastAsia="zh-CN"/>
        </w:rPr>
        <w:t>4</w:t>
      </w:r>
      <w:r>
        <w:rPr>
          <w:rFonts w:eastAsia="宋体"/>
          <w:color w:val="auto"/>
          <w:sz w:val="22"/>
          <w:lang w:eastAsia="zh-CN"/>
        </w:rPr>
        <w:t>.</w:t>
      </w:r>
      <w:r>
        <w:rPr>
          <w:rFonts w:hint="eastAsia" w:eastAsia="宋体"/>
          <w:color w:val="auto"/>
          <w:sz w:val="22"/>
          <w:lang w:eastAsia="zh-CN"/>
        </w:rPr>
        <w:t>1</w:t>
      </w:r>
    </w:p>
    <w:p>
      <w:pPr>
        <w:pBdr>
          <w:bottom w:val="single" w:color="auto" w:sz="6" w:space="1"/>
        </w:pBdr>
        <w:snapToGrid w:val="0"/>
        <w:spacing w:before="72" w:beforeLines="30" w:after="72" w:afterLines="30" w:line="288" w:lineRule="auto"/>
        <w:ind w:left="1800" w:hanging="1800"/>
        <w:rPr>
          <w:b/>
          <w:color w:val="auto"/>
          <w:sz w:val="22"/>
        </w:rPr>
      </w:pPr>
      <w:r>
        <w:rPr>
          <w:rFonts w:ascii="Arial" w:hAnsi="Arial"/>
          <w:b/>
          <w:color w:val="auto"/>
          <w:sz w:val="22"/>
        </w:rPr>
        <w:t>Document for:</w:t>
      </w:r>
      <w:r>
        <w:rPr>
          <w:b/>
          <w:color w:val="auto"/>
          <w:sz w:val="22"/>
        </w:rPr>
        <w:tab/>
      </w:r>
      <w:r>
        <w:rPr>
          <w:rFonts w:ascii="Arial" w:hAnsi="Arial"/>
          <w:b/>
          <w:color w:val="auto"/>
          <w:sz w:val="22"/>
        </w:rPr>
        <w:t>Discussion and Decision</w:t>
      </w:r>
    </w:p>
    <w:p>
      <w:pPr>
        <w:numPr>
          <w:ilvl w:val="0"/>
          <w:numId w:val="10"/>
        </w:numPr>
        <w:snapToGrid w:val="0"/>
        <w:spacing w:before="72" w:beforeLines="30" w:after="72" w:afterLines="30" w:line="288" w:lineRule="auto"/>
        <w:jc w:val="both"/>
        <w:outlineLvl w:val="0"/>
        <w:rPr>
          <w:b/>
          <w:color w:val="auto"/>
          <w:sz w:val="28"/>
        </w:rPr>
      </w:pPr>
      <w:bookmarkStart w:id="0" w:name="_Hlk157855303"/>
      <w:r>
        <w:rPr>
          <w:b/>
          <w:color w:val="auto"/>
          <w:sz w:val="28"/>
        </w:rPr>
        <w:t>Introduction</w:t>
      </w:r>
    </w:p>
    <w:p>
      <w:pPr>
        <w:snapToGrid w:val="0"/>
        <w:spacing w:before="72" w:beforeLines="30" w:after="72" w:afterLines="30" w:line="288" w:lineRule="auto"/>
        <w:jc w:val="both"/>
        <w:rPr>
          <w:rFonts w:eastAsiaTheme="minorEastAsia"/>
          <w:color w:val="auto"/>
        </w:rPr>
      </w:pPr>
      <w:r>
        <w:rPr>
          <w:rFonts w:eastAsiaTheme="minorEastAsia"/>
          <w:color w:val="auto"/>
        </w:rPr>
        <w:t>In RAN#105 meeting</w:t>
      </w:r>
      <w:r>
        <w:rPr>
          <w:rFonts w:eastAsiaTheme="minorEastAsia"/>
          <w:color w:val="auto"/>
          <w:vertAlign w:val="superscript"/>
        </w:rPr>
        <w:t>[1]</w:t>
      </w:r>
      <w:r>
        <w:rPr>
          <w:rFonts w:eastAsiaTheme="minorEastAsia"/>
          <w:color w:val="auto"/>
        </w:rPr>
        <w:t>, a revised WID on AI</w:t>
      </w:r>
      <w:bookmarkStart w:id="23" w:name="_GoBack"/>
      <w:bookmarkEnd w:id="23"/>
      <w:r>
        <w:rPr>
          <w:rFonts w:eastAsiaTheme="minorEastAsia"/>
          <w:color w:val="auto"/>
        </w:rPr>
        <w:t xml:space="preserve">/ML for air interface was approved. The following study objectives related to AI/ML CSI </w:t>
      </w:r>
      <w:r>
        <w:rPr>
          <w:rFonts w:hint="eastAsia" w:eastAsiaTheme="minorEastAsia"/>
          <w:color w:val="auto"/>
        </w:rPr>
        <w:t xml:space="preserve">feedback enhancement </w:t>
      </w:r>
      <w:r>
        <w:rPr>
          <w:rFonts w:eastAsiaTheme="minorEastAsia"/>
          <w:color w:val="auto"/>
        </w:rPr>
        <w:t xml:space="preserve">were included in the WID.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72" w:beforeLines="30" w:after="72" w:afterLines="30" w:line="288" w:lineRule="auto"/>
              <w:rPr>
                <w:bCs/>
                <w:color w:val="auto"/>
              </w:rPr>
            </w:pPr>
            <w:r>
              <w:rPr>
                <w:bCs/>
                <w:color w:val="auto"/>
              </w:rPr>
              <w:t>Study objectives:</w:t>
            </w:r>
          </w:p>
          <w:p>
            <w:pPr>
              <w:numPr>
                <w:ilvl w:val="0"/>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 xml:space="preserve">CSI feedback enhancement [RAN1]: </w:t>
            </w:r>
          </w:p>
          <w:p>
            <w:pPr>
              <w:numPr>
                <w:ilvl w:val="1"/>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For CSI compression (two-sided model), further study ways to:</w:t>
            </w:r>
          </w:p>
          <w:p>
            <w:pPr>
              <w:numPr>
                <w:ilvl w:val="2"/>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Improve trade-off between performance and complexity/overhead</w:t>
            </w:r>
          </w:p>
          <w:p>
            <w:pPr>
              <w:numPr>
                <w:ilvl w:val="3"/>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e.g., considering extending the spatial/frequency compression to spatial/temporal/frequency compression, cell/site specific models, CSI compression plus prediction (compared to Rel-18 non-AI/ML based approach), etc.</w:t>
            </w:r>
          </w:p>
          <w:p>
            <w:pPr>
              <w:numPr>
                <w:ilvl w:val="2"/>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Alleviate/resolve issues related to inter-vendor training collaboration.</w:t>
            </w:r>
          </w:p>
          <w:p>
            <w:pPr>
              <w:snapToGrid w:val="0"/>
              <w:spacing w:before="72" w:beforeLines="30" w:after="72" w:afterLines="30" w:line="288" w:lineRule="auto"/>
              <w:ind w:left="1440"/>
              <w:rPr>
                <w:bCs/>
                <w:color w:val="auto"/>
              </w:rPr>
            </w:pPr>
            <w:r>
              <w:rPr>
                <w:bCs/>
                <w:color w:val="auto"/>
              </w:rPr>
              <w:t xml:space="preserve">while addressing necessary specification impact analysis, as well as, other aspects requiring further study/conclusion as captured in the conclusions section of the TR 38.843. </w:t>
            </w:r>
          </w:p>
          <w:p>
            <w:pPr>
              <w:overflowPunct w:val="0"/>
              <w:autoSpaceDE w:val="0"/>
              <w:autoSpaceDN w:val="0"/>
              <w:adjustRightInd w:val="0"/>
              <w:snapToGrid w:val="0"/>
              <w:spacing w:before="72" w:beforeLines="30" w:after="72" w:afterLines="30" w:line="288" w:lineRule="auto"/>
              <w:ind w:left="720"/>
              <w:jc w:val="center"/>
              <w:textAlignment w:val="baseline"/>
              <w:rPr>
                <w:rFonts w:eastAsiaTheme="minorEastAsia"/>
                <w:bCs/>
                <w:color w:val="auto"/>
              </w:rPr>
            </w:pPr>
            <w:r>
              <w:rPr>
                <w:bCs/>
                <w:color w:val="auto"/>
              </w:rPr>
              <w:t>-------------- CSI prediction parts are omitted --------------</w:t>
            </w:r>
          </w:p>
        </w:tc>
      </w:tr>
    </w:tbl>
    <w:p>
      <w:pPr>
        <w:snapToGrid w:val="0"/>
        <w:spacing w:before="72" w:beforeLines="30" w:after="72" w:afterLines="30" w:line="288" w:lineRule="auto"/>
        <w:jc w:val="both"/>
        <w:rPr>
          <w:rFonts w:eastAsia="Times New Roman"/>
          <w:color w:val="auto"/>
        </w:rPr>
      </w:pPr>
      <w:r>
        <w:rPr>
          <w:rFonts w:hint="eastAsia" w:eastAsia="Times New Roman"/>
          <w:color w:val="auto"/>
        </w:rPr>
        <w:t>In RAN1#118b meeting</w:t>
      </w:r>
      <w:r>
        <w:rPr>
          <w:rFonts w:hint="eastAsia" w:eastAsia="宋体"/>
          <w:color w:val="auto"/>
          <w:vertAlign w:val="superscript"/>
        </w:rPr>
        <w:t>[2]</w:t>
      </w:r>
      <w:r>
        <w:rPr>
          <w:rFonts w:hint="eastAsia" w:eastAsia="Times New Roman"/>
          <w:color w:val="auto"/>
        </w:rPr>
        <w:t xml:space="preserve">, the discussions on different inter-vendor collaboration options for </w:t>
      </w:r>
      <w:r>
        <w:rPr>
          <w:rFonts w:hint="eastAsia" w:eastAsia="宋体"/>
          <w:color w:val="auto"/>
        </w:rPr>
        <w:t>Direction A</w:t>
      </w:r>
      <w:r>
        <w:rPr>
          <w:rFonts w:hint="eastAsia" w:eastAsia="Times New Roman"/>
          <w:color w:val="auto"/>
        </w:rPr>
        <w:t xml:space="preserve"> progresse</w:t>
      </w:r>
      <w:r>
        <w:rPr>
          <w:rFonts w:hint="eastAsia" w:eastAsia="宋体"/>
          <w:color w:val="auto"/>
        </w:rPr>
        <w:t>d</w:t>
      </w:r>
      <w:r>
        <w:rPr>
          <w:rFonts w:hint="eastAsia" w:eastAsia="Times New Roman"/>
          <w:color w:val="auto"/>
        </w:rPr>
        <w:t xml:space="preserve"> well and only two sub-op</w:t>
      </w:r>
      <w:r>
        <w:rPr>
          <w:rFonts w:hint="eastAsia" w:eastAsia="宋体"/>
          <w:color w:val="auto"/>
        </w:rPr>
        <w:t>t</w:t>
      </w:r>
      <w:r>
        <w:rPr>
          <w:rFonts w:hint="eastAsia" w:eastAsia="Times New Roman"/>
          <w:color w:val="auto"/>
        </w:rPr>
        <w:t xml:space="preserve">ions (i.e., 3a-1 and 4-1) </w:t>
      </w:r>
      <w:r>
        <w:rPr>
          <w:rFonts w:hint="eastAsia" w:eastAsia="宋体"/>
          <w:color w:val="auto"/>
        </w:rPr>
        <w:t xml:space="preserve">were </w:t>
      </w:r>
      <w:r>
        <w:rPr>
          <w:rFonts w:hint="eastAsia" w:eastAsia="Times New Roman"/>
          <w:color w:val="auto"/>
        </w:rPr>
        <w:t xml:space="preserve">kept on the table for further study. Besides, evaluation assumptions were agreed for assessing the potential performance degradation of data distribution mismatch with respect to UE side additional condition for </w:t>
      </w:r>
      <w:r>
        <w:rPr>
          <w:rFonts w:hint="eastAsia" w:eastAsia="宋体"/>
          <w:color w:val="auto"/>
        </w:rPr>
        <w:t>Direction A</w:t>
      </w:r>
      <w:r>
        <w:rPr>
          <w:rFonts w:hint="eastAsia" w:eastAsia="Times New Roman"/>
          <w:color w:val="auto"/>
        </w:rPr>
        <w:t xml:space="preserve">/B and synthetic data for </w:t>
      </w:r>
      <w:r>
        <w:rPr>
          <w:rFonts w:hint="eastAsia" w:eastAsia="宋体"/>
          <w:color w:val="auto"/>
        </w:rPr>
        <w:t>Direction C</w:t>
      </w:r>
      <w:r>
        <w:rPr>
          <w:rFonts w:hint="eastAsia" w:eastAsia="Times New Roman"/>
          <w:color w:val="auto"/>
        </w:rPr>
        <w:t xml:space="preserve">. </w:t>
      </w:r>
      <w:r>
        <w:rPr>
          <w:rFonts w:hint="eastAsia" w:eastAsia="宋体"/>
          <w:color w:val="auto"/>
        </w:rPr>
        <w:t>Nevertheless</w:t>
      </w:r>
      <w:r>
        <w:rPr>
          <w:rFonts w:hint="eastAsia" w:eastAsia="Times New Roman"/>
          <w:color w:val="auto"/>
        </w:rPr>
        <w:t xml:space="preserve">, there are still many open issues for </w:t>
      </w:r>
      <w:r>
        <w:rPr>
          <w:rFonts w:hint="eastAsia" w:eastAsia="宋体"/>
          <w:color w:val="auto"/>
        </w:rPr>
        <w:t xml:space="preserve">different </w:t>
      </w:r>
      <w:r>
        <w:rPr>
          <w:rFonts w:hint="eastAsia" w:eastAsia="Times New Roman"/>
          <w:color w:val="auto"/>
        </w:rPr>
        <w:t>inter-vendor collaboration</w:t>
      </w:r>
      <w:r>
        <w:rPr>
          <w:rFonts w:hint="eastAsia" w:eastAsia="宋体"/>
          <w:color w:val="auto"/>
        </w:rPr>
        <w:t xml:space="preserve"> </w:t>
      </w:r>
      <w:r>
        <w:rPr>
          <w:rFonts w:hint="eastAsia" w:eastAsia="Times New Roman"/>
          <w:color w:val="auto"/>
        </w:rPr>
        <w:t>directions</w:t>
      </w:r>
      <w:r>
        <w:rPr>
          <w:rFonts w:hint="eastAsia" w:eastAsia="宋体"/>
          <w:color w:val="auto"/>
        </w:rPr>
        <w:t>. T</w:t>
      </w:r>
      <w:r>
        <w:rPr>
          <w:rFonts w:hint="eastAsia" w:eastAsia="Times New Roman"/>
          <w:color w:val="auto"/>
        </w:rPr>
        <w:t xml:space="preserve">he performance impacts of data distribution mismatch </w:t>
      </w:r>
      <w:r>
        <w:rPr>
          <w:rFonts w:hint="eastAsia" w:eastAsia="宋体"/>
          <w:color w:val="auto"/>
        </w:rPr>
        <w:t xml:space="preserve">and how to address this issue </w:t>
      </w:r>
      <w:r>
        <w:rPr>
          <w:rFonts w:hint="eastAsia" w:eastAsia="Times New Roman"/>
          <w:color w:val="auto"/>
        </w:rPr>
        <w:t xml:space="preserve">are </w:t>
      </w:r>
      <w:r>
        <w:rPr>
          <w:rFonts w:hint="eastAsia" w:eastAsia="宋体"/>
          <w:color w:val="auto"/>
        </w:rPr>
        <w:t xml:space="preserve">still </w:t>
      </w:r>
      <w:r>
        <w:rPr>
          <w:rFonts w:hint="eastAsia" w:eastAsia="Times New Roman"/>
          <w:color w:val="auto"/>
        </w:rPr>
        <w:t>not clear. Therefore, in this contribution, we provide our observations and proposals for inter-vendor collaboration directions and analysis on potential specification impacts.</w:t>
      </w:r>
    </w:p>
    <w:p>
      <w:pPr>
        <w:snapToGrid w:val="0"/>
        <w:spacing w:before="30" w:after="30" w:line="288" w:lineRule="auto"/>
        <w:jc w:val="both"/>
        <w:rPr>
          <w:rFonts w:eastAsia="Times New Roman"/>
          <w:color w:val="auto"/>
        </w:rPr>
      </w:pPr>
    </w:p>
    <w:bookmarkEnd w:id="0"/>
    <w:p>
      <w:pPr>
        <w:numPr>
          <w:ilvl w:val="0"/>
          <w:numId w:val="10"/>
        </w:numPr>
        <w:pBdr>
          <w:top w:val="single" w:color="auto" w:sz="8" w:space="1"/>
        </w:pBdr>
        <w:tabs>
          <w:tab w:val="left" w:pos="576"/>
        </w:tabs>
        <w:snapToGrid w:val="0"/>
        <w:spacing w:before="72" w:beforeLines="30" w:after="72" w:afterLines="30" w:line="288" w:lineRule="auto"/>
        <w:jc w:val="both"/>
        <w:outlineLvl w:val="0"/>
        <w:rPr>
          <w:color w:val="auto"/>
          <w:sz w:val="28"/>
          <w:szCs w:val="28"/>
        </w:rPr>
      </w:pPr>
      <w:r>
        <w:rPr>
          <w:rFonts w:hint="eastAsia" w:eastAsia="宋体"/>
          <w:b/>
          <w:color w:val="auto"/>
          <w:sz w:val="28"/>
          <w:szCs w:val="28"/>
        </w:rPr>
        <w:t>General views</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According to the agreement reached in RAN1#118 meeting, Case 2 and Case 3 are prioritized for temporal domain aspects of AI/ML-based CSI compression using two-sided model in Release 19. Compared with the respectively benchmarks, both cases yield valid performance improvements in terms of UPT performance. However, the comparison between Case 2 and Case 3 is still lacking. Considering the potential huge spec impacts for AI/ML-based CSI compression using two-sided model, standardizing the two cases in parallel will bring unaffordable spec efforts. Therefore, it</w:t>
      </w:r>
      <w:r>
        <w:rPr>
          <w:rFonts w:eastAsia="宋体"/>
          <w:bCs/>
          <w:color w:val="auto"/>
        </w:rPr>
        <w:t>’</w:t>
      </w:r>
      <w:r>
        <w:rPr>
          <w:rFonts w:hint="eastAsia" w:eastAsia="宋体"/>
          <w:bCs/>
          <w:color w:val="auto"/>
        </w:rPr>
        <w:t>s recommended to conduct further comparisons between these two high-priority cases for potential down selection due to the limited time remaining in R19.</w:t>
      </w:r>
    </w:p>
    <w:p>
      <w:pPr>
        <w:pStyle w:val="147"/>
        <w:snapToGrid w:val="0"/>
        <w:spacing w:before="72" w:after="72"/>
        <w:jc w:val="both"/>
        <w:rPr>
          <w:b w:val="0"/>
          <w:color w:val="auto"/>
          <w:szCs w:val="20"/>
          <w:lang w:val="en-US"/>
        </w:rPr>
      </w:pPr>
      <w:r>
        <w:rPr>
          <w:rFonts w:hint="eastAsia"/>
          <w:b w:val="0"/>
          <w:color w:val="auto"/>
          <w:szCs w:val="20"/>
          <w:lang w:val="en-US"/>
        </w:rPr>
        <w:t>To reduce the efforts for specification impact analysis and standardization, conduct comparison between Case 2 and Case 3 for potential down selection.</w:t>
      </w:r>
    </w:p>
    <w:p>
      <w:pPr>
        <w:snapToGrid w:val="0"/>
        <w:spacing w:before="72" w:beforeLines="30" w:after="72" w:afterLines="30" w:line="288" w:lineRule="auto"/>
        <w:jc w:val="both"/>
        <w:rPr>
          <w:rFonts w:eastAsia="宋体"/>
          <w:bCs/>
          <w:color w:val="auto"/>
        </w:rPr>
      </w:pPr>
      <w:r>
        <w:rPr>
          <w:rFonts w:hint="eastAsia" w:eastAsia="宋体"/>
          <w:bCs/>
          <w:color w:val="auto"/>
        </w:rPr>
        <w:t xml:space="preserve">Regarding the issues related to inter-vendor training collaboration of AI/ML-based CSI compression using two-sided model, multiple options and sub-options were studied to alleviate/resolve the collaboration complexity in previous meetings of Rel-19. </w:t>
      </w:r>
      <w:r>
        <w:rPr>
          <w:rFonts w:hint="eastAsia" w:eastAsia="宋体"/>
          <w:bCs/>
          <w:color w:val="auto"/>
        </w:rPr>
        <w:t xml:space="preserve">Among them, it has been agreed in RAN1#118b to further study sub-options 4-1 and 3a-1 of Direction A, with many feasibility issues remaining unresolved. Additionally, for inter-vendor training collaboration options in Direction B and C, whether the balance between specification efforts and field performance can be well obtained is still quite controversial. Moreover, many aspects, such as performance impact due to data distribution mismatch (e.g., between NW side and UE side, between field data and synthetic data) have not been concluded yet. </w:t>
      </w:r>
      <w:r>
        <w:rPr>
          <w:rFonts w:hint="eastAsia" w:eastAsia="宋体"/>
          <w:bCs/>
          <w:color w:val="auto"/>
        </w:rPr>
        <w:t>Therefore, it</w:t>
      </w:r>
      <w:r>
        <w:rPr>
          <w:rFonts w:eastAsia="宋体"/>
          <w:bCs/>
          <w:color w:val="auto"/>
        </w:rPr>
        <w:t>’</w:t>
      </w:r>
      <w:r>
        <w:rPr>
          <w:rFonts w:hint="eastAsia" w:eastAsia="宋体"/>
          <w:bCs/>
          <w:color w:val="auto"/>
        </w:rPr>
        <w:t>s recommended to conduct further evaluation and comparison of these different inter-vendor training collaboration options for further down selection. The specification impact analysis related to the inter-vendor training collaboration can be deferred until completion of the feasibility study and comparison of different options. Otherwise, some of the specification impact analysis will become redundant and useless if the related inter-vendor training collaboration options are assessed to be infeasible.</w:t>
      </w:r>
    </w:p>
    <w:p>
      <w:pPr>
        <w:pStyle w:val="147"/>
        <w:snapToGrid w:val="0"/>
        <w:spacing w:before="72" w:after="72"/>
        <w:jc w:val="both"/>
        <w:rPr>
          <w:b w:val="0"/>
          <w:color w:val="auto"/>
          <w:szCs w:val="20"/>
          <w:lang w:val="en-US"/>
        </w:rPr>
      </w:pPr>
      <w:r>
        <w:rPr>
          <w:rFonts w:hint="eastAsia"/>
          <w:b w:val="0"/>
          <w:color w:val="auto"/>
          <w:szCs w:val="20"/>
          <w:lang w:val="en-US"/>
        </w:rPr>
        <w:t>Conduct further evaluations and comparisons of different inter-vendor training collaboration options for feasibility study and potential down selection.</w:t>
      </w:r>
    </w:p>
    <w:p>
      <w:pPr>
        <w:pStyle w:val="147"/>
        <w:snapToGrid w:val="0"/>
        <w:spacing w:before="72" w:after="72"/>
        <w:jc w:val="both"/>
        <w:rPr>
          <w:b w:val="0"/>
          <w:color w:val="auto"/>
          <w:szCs w:val="20"/>
          <w:lang w:val="en-US"/>
        </w:rPr>
      </w:pPr>
      <w:r>
        <w:rPr>
          <w:rFonts w:hint="eastAsia"/>
          <w:b w:val="0"/>
          <w:color w:val="auto"/>
          <w:szCs w:val="20"/>
          <w:lang w:val="en-US"/>
        </w:rPr>
        <w:t xml:space="preserve">The specification impact analysis related to the inter-vendor training collaboration of AI/ML-based CSI compression should be deferred until the feasibility study and comparison of different options are concluded. </w:t>
      </w:r>
    </w:p>
    <w:p>
      <w:pPr>
        <w:snapToGrid w:val="0"/>
        <w:spacing w:before="72" w:beforeLines="30" w:after="72" w:afterLines="30" w:line="288" w:lineRule="auto"/>
        <w:jc w:val="both"/>
        <w:rPr>
          <w:rFonts w:eastAsiaTheme="minorEastAsia"/>
          <w:bCs/>
          <w:i/>
          <w:color w:val="auto"/>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hint="eastAsia" w:eastAsia="宋体"/>
          <w:b/>
          <w:color w:val="auto"/>
          <w:sz w:val="28"/>
          <w:szCs w:val="28"/>
        </w:rPr>
      </w:pPr>
      <w:r>
        <w:rPr>
          <w:rFonts w:hint="eastAsia" w:eastAsia="宋体"/>
          <w:b/>
          <w:color w:val="auto"/>
          <w:sz w:val="28"/>
          <w:szCs w:val="28"/>
        </w:rPr>
        <w:t>Inter-vendor training collaboration</w:t>
      </w:r>
    </w:p>
    <w:p>
      <w:pPr>
        <w:numPr>
          <w:ilvl w:val="1"/>
          <w:numId w:val="10"/>
        </w:numPr>
        <w:adjustRightInd w:val="0"/>
        <w:snapToGrid w:val="0"/>
        <w:spacing w:before="72" w:beforeLines="30" w:after="72" w:afterLines="30" w:line="288" w:lineRule="auto"/>
        <w:jc w:val="both"/>
        <w:outlineLvl w:val="1"/>
        <w:rPr>
          <w:b/>
          <w:color w:val="auto"/>
          <w:sz w:val="22"/>
        </w:rPr>
      </w:pPr>
      <w:r>
        <w:rPr>
          <w:rFonts w:hint="eastAsia"/>
          <w:b/>
          <w:color w:val="auto"/>
          <w:sz w:val="22"/>
        </w:rPr>
        <w:t>Analysis on the three directions of inter-vendor training collaboration</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In RAN1#118 meeting, for guiding the feasib</w:t>
      </w:r>
      <w:r>
        <w:rPr>
          <w:rFonts w:eastAsia="宋体"/>
          <w:bCs/>
          <w:color w:val="auto"/>
        </w:rPr>
        <w:t>ility</w:t>
      </w:r>
      <w:r>
        <w:rPr>
          <w:rFonts w:hint="eastAsia" w:eastAsia="宋体"/>
          <w:bCs/>
          <w:color w:val="auto"/>
        </w:rPr>
        <w:t xml:space="preserve"> study of different options for inter-vendor training collaboration, options 1, 3, 4, and 5a were further categorized as Direction A with UE-side offline engineering, Direction B with on-device operation, and Direction C with fully standardized reference model. </w:t>
      </w:r>
      <w:r>
        <w:rPr>
          <w:rFonts w:hint="eastAsia" w:eastAsia="宋体"/>
          <w:bCs/>
          <w:color w:val="auto"/>
        </w:rPr>
        <w:t>In RAN1#118b meeting, due to strong concerns on NW proprietary information disclosure issues, all sub-options in Direction A except 4-1 and 3a-1 were deprioritized. In the following, we provide our analysis on each of the three directions,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before="72" w:beforeLines="30" w:after="72" w:afterLines="30" w:line="288" w:lineRule="auto"/>
              <w:textAlignment w:val="baseline"/>
              <w:rPr>
                <w:rFonts w:eastAsia="等线"/>
                <w:b/>
                <w:color w:val="auto"/>
                <w:szCs w:val="20"/>
                <w:u w:val="single"/>
              </w:rPr>
            </w:pPr>
            <w:r>
              <w:rPr>
                <w:rFonts w:eastAsia="等线"/>
                <w:b/>
                <w:color w:val="auto"/>
                <w:szCs w:val="20"/>
                <w:u w:val="single"/>
              </w:rPr>
              <w:t>Agreement</w:t>
            </w:r>
          </w:p>
          <w:p>
            <w:pPr>
              <w:overflowPunct w:val="0"/>
              <w:autoSpaceDE w:val="0"/>
              <w:autoSpaceDN w:val="0"/>
              <w:adjustRightInd w:val="0"/>
              <w:snapToGrid w:val="0"/>
              <w:spacing w:before="72" w:beforeLines="30" w:after="72" w:afterLines="30" w:line="288" w:lineRule="auto"/>
              <w:textAlignment w:val="baseline"/>
              <w:rPr>
                <w:color w:val="auto"/>
                <w:szCs w:val="20"/>
                <w:lang w:eastAsia="en-US"/>
              </w:rPr>
            </w:pPr>
            <w:r>
              <w:rPr>
                <w:color w:val="auto"/>
                <w:szCs w:val="20"/>
                <w:lang w:eastAsia="en-US"/>
              </w:rPr>
              <w:t xml:space="preserve">Continue the study of </w:t>
            </w:r>
            <w:r>
              <w:rPr>
                <w:rFonts w:eastAsia="等线"/>
                <w:color w:val="auto"/>
                <w:szCs w:val="20"/>
              </w:rPr>
              <w:t>following</w:t>
            </w:r>
            <w:r>
              <w:rPr>
                <w:color w:val="auto"/>
                <w:szCs w:val="20"/>
                <w:lang w:eastAsia="en-US"/>
              </w:rPr>
              <w:t xml:space="preserve"> directions - on-device operation and UE side offline engineering </w:t>
            </w:r>
          </w:p>
          <w:p>
            <w:pPr>
              <w:numPr>
                <w:ilvl w:val="0"/>
                <w:numId w:val="12"/>
              </w:numPr>
              <w:snapToGrid w:val="0"/>
              <w:spacing w:before="72" w:beforeLines="30" w:after="72" w:afterLines="30" w:line="288" w:lineRule="auto"/>
              <w:rPr>
                <w:color w:val="auto"/>
                <w:szCs w:val="20"/>
                <w:lang w:eastAsia="en-US"/>
              </w:rPr>
            </w:pPr>
            <w:r>
              <w:rPr>
                <w:rFonts w:hint="eastAsia" w:eastAsia="宋体"/>
                <w:color w:val="auto"/>
                <w:szCs w:val="20"/>
              </w:rPr>
              <w:t>Direction A</w:t>
            </w:r>
            <w:r>
              <w:rPr>
                <w:color w:val="auto"/>
                <w:szCs w:val="20"/>
                <w:lang w:eastAsia="en-US"/>
              </w:rPr>
              <w:t>: Sharing parameters</w:t>
            </w:r>
            <w:r>
              <w:rPr>
                <w:rFonts w:eastAsia="等线"/>
                <w:color w:val="auto"/>
                <w:szCs w:val="20"/>
              </w:rPr>
              <w:t>/reference model</w:t>
            </w:r>
            <w:r>
              <w:rPr>
                <w:color w:val="auto"/>
                <w:szCs w:val="20"/>
                <w:lang w:eastAsia="en-US"/>
              </w:rPr>
              <w:t>/dataset that enables UE-side offline engineering (</w:t>
            </w:r>
            <w:r>
              <w:rPr>
                <w:rFonts w:eastAsia="等线"/>
                <w:color w:val="auto"/>
                <w:szCs w:val="20"/>
              </w:rPr>
              <w:t xml:space="preserve">Inter vendor collaboration option </w:t>
            </w:r>
            <w:r>
              <w:rPr>
                <w:color w:val="auto"/>
                <w:szCs w:val="20"/>
                <w:lang w:eastAsia="en-US"/>
              </w:rPr>
              <w:t>3a</w:t>
            </w:r>
            <w:r>
              <w:rPr>
                <w:rFonts w:eastAsia="等线"/>
                <w:color w:val="auto"/>
                <w:szCs w:val="20"/>
              </w:rPr>
              <w:t>/5a/</w:t>
            </w:r>
            <w:r>
              <w:rPr>
                <w:color w:val="auto"/>
                <w:szCs w:val="20"/>
                <w:lang w:eastAsia="en-US"/>
              </w:rPr>
              <w:t>4)</w:t>
            </w:r>
          </w:p>
          <w:p>
            <w:pPr>
              <w:numPr>
                <w:ilvl w:val="1"/>
                <w:numId w:val="12"/>
              </w:numPr>
              <w:snapToGrid w:val="0"/>
              <w:spacing w:before="72" w:beforeLines="30" w:after="72" w:afterLines="30" w:line="288" w:lineRule="auto"/>
              <w:rPr>
                <w:color w:val="auto"/>
                <w:szCs w:val="20"/>
                <w:lang w:eastAsia="en-US"/>
              </w:rPr>
            </w:pPr>
            <w:r>
              <w:rPr>
                <w:rFonts w:eastAsia="等线"/>
                <w:color w:val="auto"/>
                <w:szCs w:val="20"/>
              </w:rPr>
              <w:t xml:space="preserve">Potential </w:t>
            </w:r>
            <w:r>
              <w:rPr>
                <w:color w:val="auto"/>
                <w:szCs w:val="20"/>
                <w:lang w:eastAsia="en-US"/>
              </w:rPr>
              <w:t>down-selection into one or more among sub-options 3a</w:t>
            </w:r>
            <w:r>
              <w:rPr>
                <w:rFonts w:eastAsia="等线"/>
                <w:color w:val="auto"/>
                <w:szCs w:val="20"/>
              </w:rPr>
              <w:t>/5a</w:t>
            </w:r>
            <w:r>
              <w:rPr>
                <w:color w:val="auto"/>
                <w:szCs w:val="20"/>
                <w:lang w:eastAsia="en-US"/>
              </w:rPr>
              <w:t>-1, 3a</w:t>
            </w:r>
            <w:r>
              <w:rPr>
                <w:rFonts w:eastAsia="等线"/>
                <w:color w:val="auto"/>
                <w:szCs w:val="20"/>
              </w:rPr>
              <w:t>/5a</w:t>
            </w:r>
            <w:r>
              <w:rPr>
                <w:color w:val="auto"/>
                <w:szCs w:val="20"/>
                <w:lang w:eastAsia="en-US"/>
              </w:rPr>
              <w:t>-2, 3a</w:t>
            </w:r>
            <w:r>
              <w:rPr>
                <w:rFonts w:eastAsia="等线"/>
                <w:color w:val="auto"/>
                <w:szCs w:val="20"/>
              </w:rPr>
              <w:t>/5a</w:t>
            </w:r>
            <w:r>
              <w:rPr>
                <w:color w:val="auto"/>
                <w:szCs w:val="20"/>
                <w:lang w:eastAsia="en-US"/>
              </w:rPr>
              <w:t>-3, 4-1, 4-2, and 4-3 considering their feasibility and performance</w:t>
            </w:r>
            <w:r>
              <w:rPr>
                <w:rFonts w:eastAsia="等线"/>
                <w:color w:val="auto"/>
                <w:szCs w:val="20"/>
              </w:rPr>
              <w:t>, including at least the following issues</w:t>
            </w:r>
          </w:p>
          <w:p>
            <w:pPr>
              <w:numPr>
                <w:ilvl w:val="2"/>
                <w:numId w:val="12"/>
              </w:numPr>
              <w:snapToGrid w:val="0"/>
              <w:spacing w:before="72" w:beforeLines="30" w:after="72" w:afterLines="30" w:line="288" w:lineRule="auto"/>
              <w:rPr>
                <w:color w:val="auto"/>
                <w:szCs w:val="20"/>
                <w:lang w:eastAsia="en-US"/>
              </w:rPr>
            </w:pPr>
            <w:r>
              <w:rPr>
                <w:rFonts w:eastAsia="等线"/>
                <w:color w:val="auto"/>
                <w:szCs w:val="20"/>
              </w:rPr>
              <w:t>[Issue 1] W</w:t>
            </w:r>
            <w:r>
              <w:rPr>
                <w:color w:val="auto"/>
                <w:szCs w:val="20"/>
                <w:lang w:eastAsia="en-US"/>
              </w:rPr>
              <w:t>hat additional information should be shared from NW-side to UE-side to enable UE-side encoder training, validation, and testing</w:t>
            </w:r>
            <w:r>
              <w:rPr>
                <w:rFonts w:eastAsia="等线"/>
                <w:color w:val="auto"/>
                <w:szCs w:val="20"/>
              </w:rPr>
              <w:t xml:space="preserve">? </w:t>
            </w:r>
          </w:p>
          <w:p>
            <w:pPr>
              <w:numPr>
                <w:ilvl w:val="2"/>
                <w:numId w:val="12"/>
              </w:numPr>
              <w:snapToGrid w:val="0"/>
              <w:spacing w:before="72" w:beforeLines="30" w:after="72" w:afterLines="30" w:line="288" w:lineRule="auto"/>
              <w:rPr>
                <w:color w:val="auto"/>
                <w:szCs w:val="20"/>
                <w:lang w:eastAsia="en-US"/>
              </w:rPr>
            </w:pPr>
            <w:r>
              <w:rPr>
                <w:rFonts w:eastAsia="等线"/>
                <w:color w:val="auto"/>
                <w:szCs w:val="20"/>
              </w:rPr>
              <w:t>[Issue 2] I</w:t>
            </w:r>
            <w:r>
              <w:rPr>
                <w:color w:val="auto"/>
                <w:szCs w:val="20"/>
                <w:lang w:eastAsia="en-US"/>
              </w:rPr>
              <w:t>s there concern for NW’s proprietary information disclosure, and if so, how to address it</w:t>
            </w:r>
            <w:r>
              <w:rPr>
                <w:rFonts w:eastAsia="等线"/>
                <w:color w:val="auto"/>
                <w:szCs w:val="20"/>
              </w:rPr>
              <w:t>?</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w:t>
            </w:r>
            <w:r>
              <w:rPr>
                <w:rFonts w:eastAsia="等线"/>
                <w:color w:val="auto"/>
                <w:szCs w:val="20"/>
              </w:rPr>
              <w:t>Issue 3</w:t>
            </w:r>
            <w:r>
              <w:rPr>
                <w:color w:val="auto"/>
                <w:szCs w:val="20"/>
                <w:lang w:eastAsia="en-US"/>
              </w:rPr>
              <w:t xml:space="preserve">] </w:t>
            </w:r>
            <w:r>
              <w:rPr>
                <w:rFonts w:eastAsia="等线"/>
                <w:color w:val="auto"/>
                <w:szCs w:val="20"/>
              </w:rPr>
              <w:t>Is there</w:t>
            </w:r>
            <w:r>
              <w:rPr>
                <w:color w:val="auto"/>
                <w:szCs w:val="20"/>
                <w:lang w:eastAsia="en-US"/>
              </w:rPr>
              <w:t xml:space="preserve"> an overhead concern</w:t>
            </w:r>
            <w:r>
              <w:rPr>
                <w:rFonts w:eastAsia="等线"/>
                <w:color w:val="auto"/>
                <w:szCs w:val="20"/>
              </w:rPr>
              <w:t xml:space="preserve">, </w:t>
            </w:r>
            <w:r>
              <w:rPr>
                <w:color w:val="auto"/>
                <w:szCs w:val="20"/>
                <w:lang w:eastAsia="en-US"/>
              </w:rPr>
              <w:t>and if so, how to address it</w:t>
            </w:r>
            <w:r>
              <w:rPr>
                <w:rFonts w:eastAsia="等线"/>
                <w:color w:val="auto"/>
                <w:szCs w:val="20"/>
              </w:rPr>
              <w:t>?</w:t>
            </w:r>
          </w:p>
          <w:p>
            <w:pPr>
              <w:numPr>
                <w:ilvl w:val="2"/>
                <w:numId w:val="12"/>
              </w:numPr>
              <w:snapToGrid w:val="0"/>
              <w:spacing w:before="72" w:beforeLines="30" w:after="72" w:afterLines="30" w:line="288" w:lineRule="auto"/>
              <w:rPr>
                <w:color w:val="auto"/>
                <w:szCs w:val="20"/>
                <w:lang w:eastAsia="en-US"/>
              </w:rPr>
            </w:pPr>
            <w:r>
              <w:rPr>
                <w:rFonts w:eastAsia="等线"/>
                <w:color w:val="auto"/>
                <w:szCs w:val="20"/>
              </w:rPr>
              <w:t>[Issue 4] Is there performance impact due to mismatch between NW side data distribution and UE side data distribution, and if so, how to address it?</w:t>
            </w:r>
          </w:p>
          <w:p>
            <w:pPr>
              <w:numPr>
                <w:ilvl w:val="0"/>
                <w:numId w:val="12"/>
              </w:numPr>
              <w:snapToGrid w:val="0"/>
              <w:spacing w:before="72" w:beforeLines="30" w:after="72" w:afterLines="30" w:line="288" w:lineRule="auto"/>
              <w:rPr>
                <w:color w:val="auto"/>
                <w:szCs w:val="20"/>
                <w:lang w:eastAsia="en-US"/>
              </w:rPr>
            </w:pPr>
            <w:r>
              <w:rPr>
                <w:rFonts w:hint="eastAsia" w:eastAsia="宋体"/>
                <w:color w:val="auto"/>
                <w:szCs w:val="20"/>
              </w:rPr>
              <w:t>Direction B</w:t>
            </w:r>
            <w:r>
              <w:rPr>
                <w:color w:val="auto"/>
                <w:szCs w:val="20"/>
                <w:lang w:eastAsia="en-US"/>
              </w:rPr>
              <w:t>: Sharing NW side encoder parameter to UE side for UE side inference directly with on-device operation (</w:t>
            </w:r>
            <w:r>
              <w:rPr>
                <w:rFonts w:eastAsia="宋体"/>
                <w:color w:val="auto"/>
                <w:szCs w:val="20"/>
                <w:lang w:eastAsia="en-US"/>
              </w:rPr>
              <w:t xml:space="preserve">Inter vendor collaboration option </w:t>
            </w:r>
            <w:r>
              <w:rPr>
                <w:color w:val="auto"/>
                <w:szCs w:val="20"/>
                <w:lang w:eastAsia="en-US"/>
              </w:rPr>
              <w:t>3b)</w:t>
            </w:r>
            <w:r>
              <w:rPr>
                <w:rFonts w:eastAsia="宋体"/>
                <w:color w:val="auto"/>
                <w:szCs w:val="20"/>
                <w:lang w:eastAsia="en-US"/>
              </w:rPr>
              <w:t>, including at least the following issues</w:t>
            </w:r>
          </w:p>
          <w:p>
            <w:pPr>
              <w:numPr>
                <w:ilvl w:val="1"/>
                <w:numId w:val="12"/>
              </w:numPr>
              <w:snapToGrid w:val="0"/>
              <w:spacing w:before="72" w:beforeLines="30" w:after="72" w:afterLines="30" w:line="288" w:lineRule="auto"/>
              <w:rPr>
                <w:color w:val="auto"/>
                <w:szCs w:val="20"/>
                <w:lang w:eastAsia="en-US"/>
              </w:rPr>
            </w:pPr>
            <w:r>
              <w:rPr>
                <w:color w:val="auto"/>
                <w:szCs w:val="20"/>
                <w:lang w:eastAsia="en-US"/>
              </w:rPr>
              <w:t>[</w:t>
            </w:r>
            <w:r>
              <w:rPr>
                <w:rFonts w:eastAsia="宋体"/>
                <w:color w:val="auto"/>
                <w:szCs w:val="20"/>
                <w:lang w:eastAsia="en-US"/>
              </w:rPr>
              <w:t>Issue 3</w:t>
            </w:r>
            <w:r>
              <w:rPr>
                <w:color w:val="auto"/>
                <w:szCs w:val="20"/>
                <w:lang w:eastAsia="en-US"/>
              </w:rPr>
              <w:t xml:space="preserve">] </w:t>
            </w:r>
            <w:r>
              <w:rPr>
                <w:rFonts w:eastAsia="宋体"/>
                <w:color w:val="auto"/>
                <w:szCs w:val="20"/>
                <w:lang w:eastAsia="en-US"/>
              </w:rPr>
              <w:t>Is there</w:t>
            </w:r>
            <w:r>
              <w:rPr>
                <w:color w:val="auto"/>
                <w:szCs w:val="20"/>
                <w:lang w:eastAsia="en-US"/>
              </w:rPr>
              <w:t xml:space="preserve"> an overhead concern</w:t>
            </w:r>
            <w:r>
              <w:rPr>
                <w:rFonts w:eastAsia="宋体"/>
                <w:color w:val="auto"/>
                <w:szCs w:val="20"/>
                <w:lang w:eastAsia="en-US"/>
              </w:rPr>
              <w:t xml:space="preserve">, </w:t>
            </w:r>
            <w:r>
              <w:rPr>
                <w:color w:val="auto"/>
                <w:szCs w:val="20"/>
                <w:lang w:eastAsia="en-US"/>
              </w:rPr>
              <w:t>and if so, how to address it</w:t>
            </w:r>
            <w:r>
              <w:rPr>
                <w:rFonts w:eastAsia="宋体"/>
                <w:color w:val="auto"/>
                <w:szCs w:val="20"/>
                <w:lang w:eastAsia="en-US"/>
              </w:rPr>
              <w:t>?</w:t>
            </w:r>
          </w:p>
          <w:p>
            <w:pPr>
              <w:numPr>
                <w:ilvl w:val="1"/>
                <w:numId w:val="12"/>
              </w:numPr>
              <w:snapToGrid w:val="0"/>
              <w:spacing w:before="72" w:beforeLines="30" w:after="72" w:afterLines="30" w:line="288" w:lineRule="auto"/>
              <w:rPr>
                <w:color w:val="auto"/>
                <w:szCs w:val="20"/>
                <w:lang w:eastAsia="en-US"/>
              </w:rPr>
            </w:pPr>
            <w:r>
              <w:rPr>
                <w:color w:val="auto"/>
                <w:szCs w:val="20"/>
                <w:lang w:eastAsia="en-US"/>
              </w:rPr>
              <w:t xml:space="preserve">[Issue 5] </w:t>
            </w:r>
            <w:r>
              <w:rPr>
                <w:rFonts w:eastAsia="等线"/>
                <w:color w:val="auto"/>
                <w:szCs w:val="20"/>
              </w:rPr>
              <w:t>W</w:t>
            </w:r>
            <w:r>
              <w:rPr>
                <w:color w:val="auto"/>
                <w:szCs w:val="20"/>
                <w:lang w:eastAsia="en-US"/>
              </w:rPr>
              <w:t xml:space="preserve">hether it is feasible to use a common encoder across </w:t>
            </w:r>
            <w:r>
              <w:rPr>
                <w:rFonts w:eastAsia="等线"/>
                <w:color w:val="auto"/>
                <w:szCs w:val="20"/>
              </w:rPr>
              <w:t>UEs</w:t>
            </w:r>
            <w:r>
              <w:rPr>
                <w:color w:val="auto"/>
                <w:szCs w:val="20"/>
                <w:lang w:eastAsia="en-US"/>
              </w:rPr>
              <w:t>, and whether it is feasible for NW-side to train multiple encoders</w:t>
            </w:r>
            <w:r>
              <w:rPr>
                <w:rFonts w:eastAsia="等线"/>
                <w:color w:val="auto"/>
                <w:szCs w:val="20"/>
              </w:rPr>
              <w:t xml:space="preserve"> for different UEs?</w:t>
            </w:r>
            <w:r>
              <w:rPr>
                <w:color w:val="auto"/>
                <w:szCs w:val="20"/>
                <w:lang w:eastAsia="en-US"/>
              </w:rPr>
              <w:t xml:space="preserve"> </w:t>
            </w:r>
          </w:p>
          <w:p>
            <w:pPr>
              <w:numPr>
                <w:ilvl w:val="1"/>
                <w:numId w:val="12"/>
              </w:numPr>
              <w:snapToGrid w:val="0"/>
              <w:spacing w:before="72" w:beforeLines="30" w:after="72" w:afterLines="30" w:line="288" w:lineRule="auto"/>
              <w:rPr>
                <w:color w:val="auto"/>
                <w:szCs w:val="20"/>
                <w:lang w:eastAsia="en-US"/>
              </w:rPr>
            </w:pPr>
            <w:r>
              <w:rPr>
                <w:rFonts w:eastAsia="等线"/>
                <w:color w:val="auto"/>
                <w:szCs w:val="20"/>
              </w:rPr>
              <w:t>[Issue 6] Is there performance impact due to mismatch between NW side data distribution and UE side inference data distribution, and if so, how to address it?</w:t>
            </w:r>
            <w:r>
              <w:rPr>
                <w:color w:val="auto"/>
                <w:szCs w:val="20"/>
                <w:lang w:eastAsia="en-US"/>
              </w:rPr>
              <w:t xml:space="preserve"> </w:t>
            </w:r>
          </w:p>
          <w:p>
            <w:pPr>
              <w:numPr>
                <w:ilvl w:val="1"/>
                <w:numId w:val="12"/>
              </w:numPr>
              <w:snapToGrid w:val="0"/>
              <w:spacing w:before="72" w:beforeLines="30" w:after="72" w:afterLines="30" w:line="288" w:lineRule="auto"/>
              <w:rPr>
                <w:color w:val="auto"/>
                <w:szCs w:val="20"/>
                <w:lang w:eastAsia="en-US"/>
              </w:rPr>
            </w:pPr>
            <w:r>
              <w:rPr>
                <w:rFonts w:eastAsia="宋体"/>
                <w:color w:val="auto"/>
                <w:szCs w:val="20"/>
                <w:lang w:eastAsia="en-US"/>
              </w:rPr>
              <w:t xml:space="preserve">[Issue </w:t>
            </w:r>
            <w:r>
              <w:rPr>
                <w:rFonts w:eastAsia="等线"/>
                <w:color w:val="auto"/>
                <w:szCs w:val="20"/>
              </w:rPr>
              <w:t>7</w:t>
            </w:r>
            <w:r>
              <w:rPr>
                <w:rFonts w:eastAsia="宋体"/>
                <w:color w:val="auto"/>
                <w:szCs w:val="20"/>
                <w:lang w:eastAsia="en-US"/>
              </w:rPr>
              <w:t>] I</w:t>
            </w:r>
            <w:r>
              <w:rPr>
                <w:color w:val="auto"/>
                <w:szCs w:val="20"/>
                <w:lang w:eastAsia="en-US"/>
              </w:rPr>
              <w:t>s there concern for NW’s</w:t>
            </w:r>
            <w:r>
              <w:rPr>
                <w:rFonts w:eastAsia="等线"/>
                <w:color w:val="auto"/>
                <w:szCs w:val="20"/>
              </w:rPr>
              <w:t xml:space="preserve"> and UE’s</w:t>
            </w:r>
            <w:r>
              <w:rPr>
                <w:color w:val="auto"/>
                <w:szCs w:val="20"/>
                <w:lang w:eastAsia="en-US"/>
              </w:rPr>
              <w:t xml:space="preserve"> proprietary information disclosure, and if so, how to address it</w:t>
            </w:r>
            <w:r>
              <w:rPr>
                <w:rFonts w:eastAsia="宋体"/>
                <w:color w:val="auto"/>
                <w:szCs w:val="20"/>
                <w:lang w:eastAsia="en-US"/>
              </w:rPr>
              <w:t>?</w:t>
            </w:r>
          </w:p>
          <w:p>
            <w:pPr>
              <w:numPr>
                <w:ilvl w:val="0"/>
                <w:numId w:val="12"/>
              </w:numPr>
              <w:snapToGrid w:val="0"/>
              <w:spacing w:before="72" w:beforeLines="30" w:after="72" w:afterLines="30" w:line="288" w:lineRule="auto"/>
              <w:rPr>
                <w:strike/>
                <w:color w:val="auto"/>
                <w:szCs w:val="20"/>
              </w:rPr>
            </w:pPr>
            <w:r>
              <w:rPr>
                <w:rFonts w:hint="eastAsia" w:eastAsia="宋体"/>
                <w:color w:val="auto"/>
                <w:szCs w:val="20"/>
              </w:rPr>
              <w:t>Direction C</w:t>
            </w:r>
            <w:r>
              <w:rPr>
                <w:color w:val="auto"/>
                <w:szCs w:val="20"/>
              </w:rPr>
              <w:t>: Fully standardized reference model(s) and parameters with specified CSI generation part and/or CSI reconstruction part (</w:t>
            </w:r>
            <w:r>
              <w:rPr>
                <w:rFonts w:eastAsia="等线"/>
                <w:color w:val="auto"/>
                <w:szCs w:val="20"/>
              </w:rPr>
              <w:t>Inter vendor collaboration option 1), including at least the following issues</w:t>
            </w:r>
          </w:p>
          <w:p>
            <w:pPr>
              <w:numPr>
                <w:ilvl w:val="1"/>
                <w:numId w:val="12"/>
              </w:numPr>
              <w:snapToGrid w:val="0"/>
              <w:spacing w:before="72" w:beforeLines="30" w:after="72" w:afterLines="30" w:line="288" w:lineRule="auto"/>
              <w:rPr>
                <w:color w:val="auto"/>
                <w:szCs w:val="20"/>
              </w:rPr>
            </w:pPr>
            <w:r>
              <w:rPr>
                <w:color w:val="auto"/>
                <w:szCs w:val="20"/>
              </w:rPr>
              <w:t xml:space="preserve">[Issue 8] </w:t>
            </w:r>
            <w:r>
              <w:rPr>
                <w:rFonts w:eastAsia="等线"/>
                <w:color w:val="auto"/>
                <w:szCs w:val="20"/>
              </w:rPr>
              <w:t>W</w:t>
            </w:r>
            <w:r>
              <w:rPr>
                <w:color w:val="auto"/>
                <w:szCs w:val="20"/>
              </w:rPr>
              <w:t>hether to consider 3GPP’s statistical channel model or field data for reference model(s) training. In case of the latter, how does RAN1 collect field data and agree on them?</w:t>
            </w:r>
          </w:p>
          <w:p>
            <w:pPr>
              <w:numPr>
                <w:ilvl w:val="1"/>
                <w:numId w:val="12"/>
              </w:numPr>
              <w:snapToGrid w:val="0"/>
              <w:spacing w:before="72" w:beforeLines="30" w:after="72" w:afterLines="30" w:line="288" w:lineRule="auto"/>
              <w:rPr>
                <w:color w:val="auto"/>
                <w:szCs w:val="20"/>
              </w:rPr>
            </w:pPr>
            <w:r>
              <w:rPr>
                <w:color w:val="auto"/>
                <w:szCs w:val="20"/>
              </w:rPr>
              <w:t>[Issue 9] I</w:t>
            </w:r>
            <w:r>
              <w:rPr>
                <w:rFonts w:eastAsia="等线"/>
                <w:color w:val="auto"/>
                <w:szCs w:val="20"/>
              </w:rPr>
              <w:t xml:space="preserve">s there performance impact due to mismatch between the distribution of the dataset used for reference model(s) training, UE-side data distribution, and NW-side data distribution, and if so, how to address it? </w:t>
            </w:r>
          </w:p>
          <w:p>
            <w:pPr>
              <w:numPr>
                <w:ilvl w:val="1"/>
                <w:numId w:val="12"/>
              </w:numPr>
              <w:snapToGrid w:val="0"/>
              <w:spacing w:before="72" w:beforeLines="30" w:after="72" w:afterLines="30" w:line="288" w:lineRule="auto"/>
              <w:rPr>
                <w:color w:val="auto"/>
                <w:szCs w:val="20"/>
              </w:rPr>
            </w:pPr>
            <w:r>
              <w:rPr>
                <w:rFonts w:eastAsia="等线"/>
                <w:color w:val="auto"/>
                <w:szCs w:val="20"/>
              </w:rPr>
              <w:t>[Issue 10] W</w:t>
            </w:r>
            <w:r>
              <w:rPr>
                <w:color w:val="auto"/>
                <w:szCs w:val="20"/>
                <w:lang w:eastAsia="en-US"/>
              </w:rPr>
              <w:t xml:space="preserve">hat additional information should be specified to enable UE-side encoder training, validation, and testing, and </w:t>
            </w:r>
            <w:r>
              <w:rPr>
                <w:rFonts w:eastAsia="等线"/>
                <w:color w:val="auto"/>
                <w:szCs w:val="20"/>
              </w:rPr>
              <w:t>N</w:t>
            </w:r>
            <w:r>
              <w:rPr>
                <w:color w:val="auto"/>
                <w:szCs w:val="20"/>
                <w:lang w:eastAsia="en-US"/>
              </w:rPr>
              <w:t>W-side decoder training, validation, and testing</w:t>
            </w:r>
            <w:r>
              <w:rPr>
                <w:rFonts w:eastAsia="等线"/>
                <w:color w:val="auto"/>
                <w:szCs w:val="20"/>
              </w:rPr>
              <w:t>?</w:t>
            </w:r>
          </w:p>
          <w:p>
            <w:pPr>
              <w:numPr>
                <w:ilvl w:val="1"/>
                <w:numId w:val="12"/>
              </w:numPr>
              <w:snapToGrid w:val="0"/>
              <w:spacing w:before="72" w:beforeLines="30" w:after="72" w:afterLines="30" w:line="288" w:lineRule="auto"/>
              <w:rPr>
                <w:color w:val="auto"/>
                <w:szCs w:val="20"/>
                <w:lang w:eastAsia="en-US"/>
              </w:rPr>
            </w:pPr>
            <w:r>
              <w:rPr>
                <w:color w:val="auto"/>
                <w:szCs w:val="20"/>
                <w:lang w:eastAsia="en-US"/>
              </w:rPr>
              <w:t xml:space="preserve">Note: </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1-1: Only reference encoder is specified, and NW-side and</w:t>
            </w:r>
            <w:r>
              <w:rPr>
                <w:rFonts w:eastAsia="等线"/>
                <w:color w:val="auto"/>
                <w:szCs w:val="20"/>
              </w:rPr>
              <w:t>/or</w:t>
            </w:r>
            <w:r>
              <w:rPr>
                <w:color w:val="auto"/>
                <w:szCs w:val="20"/>
                <w:lang w:eastAsia="en-US"/>
              </w:rPr>
              <w:t xml:space="preserve"> UE-side may train their actual CSI generation part and </w:t>
            </w:r>
            <w:r>
              <w:rPr>
                <w:rFonts w:eastAsia="等线"/>
                <w:color w:val="auto"/>
                <w:szCs w:val="20"/>
              </w:rPr>
              <w:t>actual CSI</w:t>
            </w:r>
            <w:r>
              <w:rPr>
                <w:color w:val="auto"/>
                <w:szCs w:val="20"/>
                <w:lang w:eastAsia="en-US"/>
              </w:rPr>
              <w:t>-reconst</w:t>
            </w:r>
            <w:r>
              <w:rPr>
                <w:rFonts w:eastAsia="等线"/>
                <w:color w:val="auto"/>
                <w:szCs w:val="20"/>
              </w:rPr>
              <w:t>ruc</w:t>
            </w:r>
            <w:r>
              <w:rPr>
                <w:color w:val="auto"/>
                <w:szCs w:val="20"/>
                <w:lang w:eastAsia="en-US"/>
              </w:rPr>
              <w:t>tion part separately compatible to the reference encoder.</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1-2: Only reference decoder is specified, and NW-side and</w:t>
            </w:r>
            <w:r>
              <w:rPr>
                <w:rFonts w:eastAsia="等线"/>
                <w:color w:val="auto"/>
                <w:szCs w:val="20"/>
              </w:rPr>
              <w:t>/or</w:t>
            </w:r>
            <w:r>
              <w:rPr>
                <w:color w:val="auto"/>
                <w:szCs w:val="20"/>
                <w:lang w:eastAsia="en-US"/>
              </w:rPr>
              <w:t xml:space="preserve"> UE-side may train their actual CSI generation part and </w:t>
            </w:r>
            <w:r>
              <w:rPr>
                <w:rFonts w:eastAsia="等线"/>
                <w:color w:val="auto"/>
                <w:szCs w:val="20"/>
              </w:rPr>
              <w:t>actual CSI</w:t>
            </w:r>
            <w:r>
              <w:rPr>
                <w:color w:val="auto"/>
                <w:szCs w:val="20"/>
                <w:lang w:eastAsia="en-US"/>
              </w:rPr>
              <w:t>-reconst</w:t>
            </w:r>
            <w:r>
              <w:rPr>
                <w:rFonts w:eastAsia="等线"/>
                <w:color w:val="auto"/>
                <w:szCs w:val="20"/>
              </w:rPr>
              <w:t>r</w:t>
            </w:r>
            <w:r>
              <w:rPr>
                <w:color w:val="auto"/>
                <w:szCs w:val="20"/>
                <w:lang w:eastAsia="en-US"/>
              </w:rPr>
              <w:t>uction part separately compatible to the reference decoder.</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1-3: Both reference encoder and reference decoder are specified, and NW-side and</w:t>
            </w:r>
            <w:r>
              <w:rPr>
                <w:rFonts w:eastAsia="等线"/>
                <w:color w:val="auto"/>
                <w:szCs w:val="20"/>
              </w:rPr>
              <w:t>/or</w:t>
            </w:r>
            <w:r>
              <w:rPr>
                <w:color w:val="auto"/>
                <w:szCs w:val="20"/>
                <w:lang w:eastAsia="en-US"/>
              </w:rPr>
              <w:t xml:space="preserve"> UE-side may train their actual CSI generation part and </w:t>
            </w:r>
            <w:r>
              <w:rPr>
                <w:rFonts w:eastAsia="等线"/>
                <w:color w:val="auto"/>
                <w:szCs w:val="20"/>
              </w:rPr>
              <w:t>actual CSI</w:t>
            </w:r>
            <w:r>
              <w:rPr>
                <w:color w:val="auto"/>
                <w:szCs w:val="20"/>
                <w:lang w:eastAsia="en-US"/>
              </w:rPr>
              <w:t>-reconst</w:t>
            </w:r>
            <w:r>
              <w:rPr>
                <w:rFonts w:eastAsia="等线"/>
                <w:color w:val="auto"/>
                <w:szCs w:val="20"/>
              </w:rPr>
              <w:t>r</w:t>
            </w:r>
            <w:r>
              <w:rPr>
                <w:color w:val="auto"/>
                <w:szCs w:val="20"/>
                <w:lang w:eastAsia="en-US"/>
              </w:rPr>
              <w:t>uction part separately that are compatible to the reference decoder/encoder.</w:t>
            </w:r>
          </w:p>
          <w:p>
            <w:pPr>
              <w:numPr>
                <w:ilvl w:val="0"/>
                <w:numId w:val="12"/>
              </w:numPr>
              <w:snapToGrid w:val="0"/>
              <w:spacing w:before="72" w:beforeLines="30" w:after="72" w:afterLines="30" w:line="288" w:lineRule="auto"/>
              <w:rPr>
                <w:color w:val="auto"/>
                <w:szCs w:val="20"/>
                <w:lang w:eastAsia="en-US"/>
              </w:rPr>
            </w:pPr>
            <w:r>
              <w:rPr>
                <w:color w:val="auto"/>
                <w:szCs w:val="20"/>
                <w:lang w:eastAsia="en-US"/>
              </w:rPr>
              <w:t xml:space="preserve">Note: UE-side data and NW-side data in “UE-side data distribution” and “NW-side data distribution” are field data. </w:t>
            </w:r>
          </w:p>
          <w:p>
            <w:pPr>
              <w:numPr>
                <w:ilvl w:val="0"/>
                <w:numId w:val="12"/>
              </w:numPr>
              <w:snapToGrid w:val="0"/>
              <w:spacing w:before="72" w:beforeLines="30" w:after="72" w:afterLines="30" w:line="288" w:lineRule="auto"/>
              <w:rPr>
                <w:color w:val="auto"/>
                <w:szCs w:val="20"/>
                <w:lang w:eastAsia="en-US"/>
              </w:rPr>
            </w:pPr>
            <w:r>
              <w:rPr>
                <w:rFonts w:eastAsia="等线"/>
                <w:color w:val="auto"/>
                <w:szCs w:val="20"/>
              </w:rPr>
              <w:t>Note: Some issues identified in one direction may/may not be applicable for other Direction.</w:t>
            </w:r>
          </w:p>
          <w:p>
            <w:pPr>
              <w:numPr>
                <w:ilvl w:val="0"/>
                <w:numId w:val="12"/>
              </w:numPr>
              <w:snapToGrid w:val="0"/>
              <w:spacing w:before="72" w:beforeLines="30" w:after="72" w:afterLines="30" w:line="288" w:lineRule="auto"/>
              <w:rPr>
                <w:color w:val="auto"/>
                <w:szCs w:val="20"/>
                <w:lang w:eastAsia="en-US"/>
              </w:rPr>
            </w:pPr>
            <w:r>
              <w:rPr>
                <w:rFonts w:eastAsia="等线"/>
                <w:color w:val="auto"/>
                <w:szCs w:val="20"/>
              </w:rPr>
              <w:t>Note: potential down selection among the 3 directions is not precluded</w:t>
            </w:r>
          </w:p>
          <w:p>
            <w:pPr>
              <w:snapToGrid w:val="0"/>
              <w:spacing w:before="72" w:beforeLines="30" w:after="72" w:afterLines="30" w:line="288" w:lineRule="auto"/>
              <w:rPr>
                <w:color w:val="auto"/>
                <w:szCs w:val="20"/>
                <w:lang w:eastAsia="en-US"/>
              </w:rPr>
            </w:pPr>
            <w:r>
              <w:rPr>
                <w:color w:val="auto"/>
                <w:szCs w:val="20"/>
                <w:lang w:eastAsia="en-US"/>
              </w:rPr>
              <w:t>Study of data distribution mismatch to consider the use of synthetic data and</w:t>
            </w:r>
            <w:r>
              <w:rPr>
                <w:rFonts w:eastAsia="等线"/>
                <w:color w:val="auto"/>
                <w:szCs w:val="20"/>
              </w:rPr>
              <w:t>/or</w:t>
            </w:r>
            <w:r>
              <w:rPr>
                <w:color w:val="auto"/>
                <w:szCs w:val="20"/>
                <w:lang w:eastAsia="en-US"/>
              </w:rPr>
              <w:t xml:space="preserve"> field data.</w:t>
            </w:r>
          </w:p>
          <w:p>
            <w:pPr>
              <w:snapToGrid w:val="0"/>
              <w:spacing w:before="72" w:beforeLines="30" w:after="72" w:afterLines="30" w:line="288" w:lineRule="auto"/>
              <w:rPr>
                <w:color w:val="auto"/>
                <w:szCs w:val="20"/>
                <w:lang w:eastAsia="en-US"/>
              </w:rPr>
            </w:pPr>
          </w:p>
          <w:p>
            <w:pPr>
              <w:overflowPunct w:val="0"/>
              <w:autoSpaceDE w:val="0"/>
              <w:autoSpaceDN w:val="0"/>
              <w:adjustRightInd w:val="0"/>
              <w:snapToGrid w:val="0"/>
              <w:spacing w:before="72" w:beforeLines="30" w:after="72" w:afterLines="30" w:line="288" w:lineRule="auto"/>
              <w:textAlignment w:val="baseline"/>
              <w:rPr>
                <w:rFonts w:eastAsia="等线"/>
                <w:b/>
                <w:color w:val="auto"/>
                <w:szCs w:val="20"/>
                <w:u w:val="single"/>
              </w:rPr>
            </w:pPr>
            <w:r>
              <w:rPr>
                <w:rFonts w:hint="eastAsia" w:eastAsia="等线"/>
                <w:b/>
                <w:color w:val="auto"/>
                <w:szCs w:val="20"/>
                <w:u w:val="single"/>
              </w:rPr>
              <w:t>Agreement</w:t>
            </w:r>
          </w:p>
          <w:p>
            <w:pPr>
              <w:snapToGrid w:val="0"/>
              <w:spacing w:before="72" w:beforeLines="30" w:after="72" w:afterLines="30" w:line="288" w:lineRule="auto"/>
              <w:rPr>
                <w:bCs/>
                <w:iCs/>
                <w:color w:val="auto"/>
              </w:rPr>
            </w:pPr>
            <w:r>
              <w:rPr>
                <w:color w:val="auto"/>
              </w:rPr>
              <w:t xml:space="preserve">For Directions of addressing inter-vendor collaboration complexity for two-sided CSI compression, </w:t>
            </w:r>
          </w:p>
          <w:p>
            <w:pPr>
              <w:numPr>
                <w:ilvl w:val="0"/>
                <w:numId w:val="12"/>
              </w:numPr>
              <w:snapToGrid w:val="0"/>
              <w:spacing w:before="72" w:beforeLines="30" w:after="72" w:afterLines="30" w:line="288" w:lineRule="auto"/>
              <w:rPr>
                <w:rFonts w:eastAsia="等线"/>
                <w:color w:val="auto"/>
                <w:szCs w:val="20"/>
              </w:rPr>
            </w:pPr>
            <w:r>
              <w:rPr>
                <w:rFonts w:eastAsia="等线"/>
                <w:color w:val="auto"/>
                <w:szCs w:val="20"/>
              </w:rPr>
              <w:t xml:space="preserve">For </w:t>
            </w:r>
            <w:r>
              <w:rPr>
                <w:rFonts w:hint="eastAsia" w:eastAsia="等线"/>
                <w:color w:val="auto"/>
                <w:szCs w:val="20"/>
              </w:rPr>
              <w:t>Direction A</w:t>
            </w:r>
            <w:r>
              <w:rPr>
                <w:rFonts w:eastAsia="等线"/>
                <w:color w:val="auto"/>
                <w:szCs w:val="20"/>
              </w:rPr>
              <w:t>:</w:t>
            </w:r>
          </w:p>
          <w:p>
            <w:pPr>
              <w:numPr>
                <w:ilvl w:val="1"/>
                <w:numId w:val="12"/>
              </w:numPr>
              <w:snapToGrid w:val="0"/>
              <w:spacing w:before="72" w:beforeLines="30" w:after="72" w:afterLines="30" w:line="288" w:lineRule="auto"/>
              <w:rPr>
                <w:rFonts w:eastAsia="等线"/>
                <w:color w:val="auto"/>
                <w:szCs w:val="20"/>
                <w:lang w:eastAsia="ko-KR"/>
              </w:rPr>
            </w:pPr>
            <w:r>
              <w:rPr>
                <w:rFonts w:eastAsia="等线"/>
                <w:color w:val="auto"/>
                <w:szCs w:val="20"/>
                <w:lang w:eastAsia="ko-KR"/>
              </w:rPr>
              <w:t xml:space="preserve">Further study the following options with potential down-selection </w:t>
            </w:r>
          </w:p>
          <w:p>
            <w:pPr>
              <w:numPr>
                <w:ilvl w:val="2"/>
                <w:numId w:val="12"/>
              </w:numPr>
              <w:snapToGrid w:val="0"/>
              <w:spacing w:before="72" w:beforeLines="30" w:after="72" w:afterLines="30" w:line="288" w:lineRule="auto"/>
              <w:rPr>
                <w:color w:val="auto"/>
                <w:szCs w:val="20"/>
                <w:lang w:eastAsia="ko-KR"/>
              </w:rPr>
            </w:pPr>
            <w:r>
              <w:rPr>
                <w:color w:val="auto"/>
                <w:szCs w:val="20"/>
                <w:lang w:eastAsia="ko-KR"/>
              </w:rPr>
              <w:t xml:space="preserve">4-1: dataset is {target CSI, CSI feedback}, </w:t>
            </w:r>
          </w:p>
          <w:p>
            <w:pPr>
              <w:numPr>
                <w:ilvl w:val="2"/>
                <w:numId w:val="12"/>
              </w:numPr>
              <w:snapToGrid w:val="0"/>
              <w:spacing w:before="72" w:beforeLines="30" w:after="72" w:afterLines="30" w:line="288" w:lineRule="auto"/>
              <w:rPr>
                <w:color w:val="auto"/>
                <w:szCs w:val="20"/>
                <w:lang w:eastAsia="ko-KR"/>
              </w:rPr>
            </w:pPr>
            <w:r>
              <w:rPr>
                <w:color w:val="auto"/>
                <w:szCs w:val="20"/>
                <w:lang w:eastAsia="ko-KR"/>
              </w:rPr>
              <w:t>3a-1: encoder parameter exchange, with {target CSI}</w:t>
            </w:r>
          </w:p>
          <w:p>
            <w:pPr>
              <w:numPr>
                <w:ilvl w:val="2"/>
                <w:numId w:val="12"/>
              </w:numPr>
              <w:snapToGrid w:val="0"/>
              <w:spacing w:before="72" w:beforeLines="30" w:after="72" w:afterLines="30" w:line="288" w:lineRule="auto"/>
              <w:rPr>
                <w:color w:val="auto"/>
                <w:szCs w:val="20"/>
                <w:lang w:eastAsia="en-US"/>
              </w:rPr>
            </w:pPr>
            <w:r>
              <w:rPr>
                <w:color w:val="auto"/>
                <w:szCs w:val="20"/>
                <w:lang w:eastAsia="ko-KR"/>
              </w:rPr>
              <w:t xml:space="preserve">Note: Additional information beyond what’s listed above may need to be </w:t>
            </w:r>
            <w:r>
              <w:rPr>
                <w:rFonts w:hint="eastAsia"/>
                <w:color w:val="auto"/>
                <w:szCs w:val="20"/>
              </w:rPr>
              <w:t>exchanged</w:t>
            </w:r>
            <w:r>
              <w:rPr>
                <w:color w:val="auto"/>
                <w:szCs w:val="20"/>
                <w:lang w:eastAsia="ko-KR"/>
              </w:rPr>
              <w:t xml:space="preserve"> if necessary.</w:t>
            </w:r>
          </w:p>
        </w:tc>
      </w:tr>
    </w:tbl>
    <w:p>
      <w:pPr>
        <w:numPr>
          <w:ilvl w:val="2"/>
          <w:numId w:val="10"/>
        </w:numPr>
        <w:adjustRightInd w:val="0"/>
        <w:snapToGrid w:val="0"/>
        <w:spacing w:before="72" w:beforeLines="30" w:after="72" w:afterLines="30" w:line="288" w:lineRule="auto"/>
        <w:jc w:val="both"/>
        <w:outlineLvl w:val="2"/>
        <w:rPr>
          <w:rFonts w:eastAsia="宋体"/>
          <w:b/>
          <w:color w:val="auto"/>
          <w:sz w:val="22"/>
        </w:rPr>
      </w:pPr>
      <w:r>
        <w:rPr>
          <w:rFonts w:hint="eastAsia" w:eastAsia="宋体"/>
          <w:b/>
          <w:color w:val="auto"/>
          <w:sz w:val="22"/>
        </w:rPr>
        <w:t>Direction A with UE-side offline engineering</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Regarding Direction A (i.e., inter vendor collaboration options 3a/5a/4), the </w:t>
      </w:r>
      <w:r>
        <w:rPr>
          <w:rFonts w:eastAsia="宋体"/>
          <w:bCs/>
          <w:color w:val="auto"/>
          <w:lang w:eastAsia="en-US"/>
        </w:rPr>
        <w:t>parameters</w:t>
      </w:r>
      <w:r>
        <w:rPr>
          <w:rFonts w:eastAsia="宋体"/>
          <w:bCs/>
          <w:color w:val="auto"/>
        </w:rPr>
        <w:t>/reference model</w:t>
      </w:r>
      <w:r>
        <w:rPr>
          <w:rFonts w:eastAsia="宋体"/>
          <w:bCs/>
          <w:color w:val="auto"/>
          <w:lang w:eastAsia="en-US"/>
        </w:rPr>
        <w:t>/dataset</w:t>
      </w:r>
      <w:r>
        <w:rPr>
          <w:rFonts w:hint="eastAsia" w:eastAsia="宋体"/>
          <w:bCs/>
          <w:color w:val="auto"/>
        </w:rPr>
        <w:t xml:space="preserve"> received at the UE or UE side goes through offline engineering for potential model retraining, re-development, or offline testing. Compared with other plug-and-play based options and directions, better performance in the field is expected to be achieved by device-specific engineering and optimization. However, the facilitating of UE-side offline engineering may also come with additional feasibility issues as analyzed in the following.</w:t>
      </w:r>
    </w:p>
    <w:p>
      <w:pPr>
        <w:numPr>
          <w:ilvl w:val="0"/>
          <w:numId w:val="13"/>
        </w:numPr>
        <w:adjustRightInd w:val="0"/>
        <w:snapToGrid w:val="0"/>
        <w:spacing w:before="72" w:beforeLines="30" w:after="72" w:afterLines="30" w:line="288" w:lineRule="auto"/>
        <w:jc w:val="both"/>
        <w:rPr>
          <w:color w:val="auto"/>
        </w:rPr>
      </w:pPr>
      <w:r>
        <w:rPr>
          <w:rFonts w:hint="eastAsia"/>
          <w:color w:val="auto"/>
        </w:rPr>
        <w:t>[Issue 1] Additional information sharing</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For sub-option 3a-1, with the assumption of NW-first training, both parts of the two-sided model are </w:t>
      </w:r>
      <w:r>
        <w:rPr>
          <w:rFonts w:eastAsia="宋体"/>
          <w:bCs/>
          <w:color w:val="auto"/>
        </w:rPr>
        <w:t xml:space="preserve">initially </w:t>
      </w:r>
      <w:r>
        <w:rPr>
          <w:rFonts w:hint="eastAsia" w:eastAsia="宋体"/>
          <w:bCs/>
          <w:color w:val="auto"/>
        </w:rPr>
        <w:t xml:space="preserve">trained at the NW side, followed by the exchange of parameters related to the encoder from the NW-side to UE-side. To facilitate the UE-side offline engineering, additional dataset for model retraining is </w:t>
      </w:r>
      <w:r>
        <w:rPr>
          <w:rFonts w:eastAsia="宋体"/>
          <w:bCs/>
          <w:color w:val="auto"/>
        </w:rPr>
        <w:t>essential</w:t>
      </w:r>
      <w:r>
        <w:rPr>
          <w:rFonts w:hint="eastAsia" w:eastAsia="宋体"/>
          <w:bCs/>
          <w:color w:val="auto"/>
        </w:rPr>
        <w:t xml:space="preserve">, which may be </w:t>
      </w:r>
      <w:r>
        <w:rPr>
          <w:rFonts w:eastAsia="宋体"/>
          <w:bCs/>
          <w:color w:val="auto"/>
        </w:rPr>
        <w:t xml:space="preserve">directly </w:t>
      </w:r>
      <w:r>
        <w:rPr>
          <w:rFonts w:hint="eastAsia" w:eastAsia="宋体"/>
          <w:bCs/>
          <w:color w:val="auto"/>
        </w:rPr>
        <w:t>collected by the UE, collected and then transferred by the NW, or a combination of both. According to our preliminary simulations, with the assumption that the NW-side additional condition can be aligned between NW and UE, the UE side can use the dataset collected by itself (i.e., UE-side field data) for offline engineering without compromising the end-to-end performance, while the transfer of target CSI from NW to UE would not contribute to the overall performance. Specifically, the UE side</w:t>
      </w:r>
      <w:r>
        <w:rPr>
          <w:rFonts w:eastAsia="宋体"/>
          <w:bCs/>
          <w:color w:val="auto"/>
        </w:rPr>
        <w:t xml:space="preserve"> initially </w:t>
      </w:r>
      <w:r>
        <w:rPr>
          <w:rFonts w:hint="eastAsia" w:eastAsia="宋体"/>
          <w:bCs/>
          <w:color w:val="auto"/>
        </w:rPr>
        <w:t xml:space="preserve">train a nominal decoder and then train a new encoder that can better match the UE-side additional conditions. </w:t>
      </w:r>
      <w:r>
        <w:rPr>
          <w:rFonts w:eastAsia="宋体"/>
          <w:bCs/>
          <w:color w:val="auto"/>
        </w:rPr>
        <w:t>Subsequently</w:t>
      </w:r>
      <w:r>
        <w:rPr>
          <w:rFonts w:hint="eastAsia" w:eastAsia="宋体"/>
          <w:bCs/>
          <w:color w:val="auto"/>
        </w:rPr>
        <w:t xml:space="preserve">, </w:t>
      </w:r>
      <w:r>
        <w:rPr>
          <w:rFonts w:eastAsia="宋体"/>
          <w:bCs/>
          <w:color w:val="auto"/>
        </w:rPr>
        <w:t>the UE side calculates performance verification metrics</w:t>
      </w:r>
      <w:r>
        <w:rPr>
          <w:rFonts w:hint="eastAsia" w:eastAsia="宋体"/>
          <w:bCs/>
          <w:color w:val="auto"/>
        </w:rPr>
        <w:t xml:space="preserve">, such as SGCS or NMSE. </w:t>
      </w:r>
      <w:r>
        <w:rPr>
          <w:rFonts w:eastAsia="宋体"/>
          <w:bCs/>
          <w:color w:val="auto"/>
        </w:rPr>
        <w:t xml:space="preserve">Achieving a predefined performance target based on these metrics indicates that the model is adequately trained and </w:t>
      </w:r>
      <w:r>
        <w:rPr>
          <w:rFonts w:hint="eastAsia" w:eastAsia="宋体"/>
          <w:bCs/>
          <w:color w:val="auto"/>
        </w:rPr>
        <w:t xml:space="preserve">ready </w:t>
      </w:r>
      <w:r>
        <w:rPr>
          <w:rFonts w:eastAsia="宋体"/>
          <w:bCs/>
          <w:color w:val="auto"/>
        </w:rPr>
        <w:t>for inference.</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For sub-option 4-1, both parts of the two-sided model are first trained at the NW side</w:t>
      </w:r>
      <w:r>
        <w:rPr>
          <w:rFonts w:eastAsia="宋体"/>
          <w:bCs/>
          <w:color w:val="auto"/>
        </w:rPr>
        <w:t>, followed by the exchange</w:t>
      </w:r>
      <w:r>
        <w:rPr>
          <w:rFonts w:hint="eastAsia" w:eastAsia="宋体"/>
          <w:bCs/>
          <w:color w:val="auto"/>
        </w:rPr>
        <w:t xml:space="preserve"> of dataset related to the encoder from the NW-side to UE-side, including the target CSI and CSI feedback. </w:t>
      </w:r>
      <w:r>
        <w:rPr>
          <w:rFonts w:eastAsia="宋体"/>
          <w:bCs/>
          <w:color w:val="auto"/>
        </w:rPr>
        <w:t xml:space="preserve">With the dataset readily available, </w:t>
      </w:r>
      <w:r>
        <w:rPr>
          <w:rFonts w:hint="eastAsia" w:eastAsia="宋体"/>
          <w:bCs/>
          <w:color w:val="auto"/>
        </w:rPr>
        <w:t>the UE side can directly train the encoder by respectively taking the transferred CSI feedback and target CSI as model input and output. Alternatively, the UE side can train a nominal decoder based on the transferred CSI feedback and target CSI, and then train a</w:t>
      </w:r>
      <w:r>
        <w:rPr>
          <w:rFonts w:eastAsia="宋体"/>
          <w:bCs/>
          <w:color w:val="auto"/>
        </w:rPr>
        <w:t>n</w:t>
      </w:r>
      <w:r>
        <w:rPr>
          <w:rFonts w:hint="eastAsia" w:eastAsia="宋体"/>
          <w:bCs/>
          <w:color w:val="auto"/>
        </w:rPr>
        <w:t xml:space="preserve"> encoder compatible with the nominal decoder. If a predefined performance target shared from the NW side is met, it implies that the encoder has been well trained and thus ready for inference. Additionally, as the actual encoder and decoder are trained separately, misaligned model backbones or structures would result in minor or moderate performance </w:t>
      </w:r>
      <w:r>
        <w:rPr>
          <w:color w:val="auto"/>
        </w:rPr>
        <w:t>degradation of -0%~-</w:t>
      </w:r>
      <w:r>
        <w:rPr>
          <w:rFonts w:hint="eastAsia" w:eastAsia="宋体"/>
          <w:color w:val="auto"/>
        </w:rPr>
        <w:t>5.1</w:t>
      </w:r>
      <w:r>
        <w:rPr>
          <w:color w:val="auto"/>
        </w:rPr>
        <w:t>%</w:t>
      </w:r>
      <w:r>
        <w:rPr>
          <w:rFonts w:hint="eastAsia" w:eastAsia="宋体"/>
          <w:bCs/>
          <w:color w:val="auto"/>
        </w:rPr>
        <w:t xml:space="preserve"> according to Rel-18 evaluations. Therefore, </w:t>
      </w:r>
      <w:r>
        <w:rPr>
          <w:rFonts w:eastAsia="宋体"/>
          <w:bCs/>
          <w:color w:val="auto"/>
        </w:rPr>
        <w:t xml:space="preserve">it is also essential to share additional information regarding the model backbone </w:t>
      </w:r>
      <w:r>
        <w:rPr>
          <w:rFonts w:hint="eastAsia" w:eastAsia="宋体"/>
          <w:bCs/>
          <w:color w:val="auto"/>
        </w:rPr>
        <w:t xml:space="preserve">or structure </w:t>
      </w:r>
      <w:r>
        <w:rPr>
          <w:rFonts w:eastAsia="宋体"/>
          <w:bCs/>
          <w:color w:val="auto"/>
        </w:rPr>
        <w:t>from the NW side to the UE side to ensure proper alignment and performance.</w:t>
      </w:r>
    </w:p>
    <w:p>
      <w:pPr>
        <w:pStyle w:val="147"/>
        <w:snapToGrid w:val="0"/>
        <w:spacing w:before="72" w:after="72"/>
        <w:jc w:val="both"/>
        <w:rPr>
          <w:b w:val="0"/>
          <w:color w:val="auto"/>
          <w:szCs w:val="20"/>
          <w:lang w:val="en-US"/>
        </w:rPr>
      </w:pPr>
      <w:bookmarkStart w:id="1" w:name="_Hlk178349080"/>
      <w:r>
        <w:rPr>
          <w:rFonts w:hint="eastAsia"/>
          <w:b w:val="0"/>
          <w:color w:val="auto"/>
          <w:szCs w:val="20"/>
          <w:lang w:val="en-US"/>
        </w:rPr>
        <w:t>For sub-option 3a-1 of Direction A, at least performance target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 xml:space="preserve">For sub-option 3a-1 of Direction A, </w:t>
      </w:r>
      <w:r>
        <w:rPr>
          <w:rFonts w:hint="eastAsia"/>
          <w:b w:val="0"/>
          <w:bCs w:val="0"/>
          <w:color w:val="auto"/>
          <w:szCs w:val="20"/>
          <w:lang w:val="en-US"/>
        </w:rPr>
        <w:t>additional dataset for UE-side encoder retraining can be collected by UE implementations</w:t>
      </w:r>
      <w:r>
        <w:rPr>
          <w:rFonts w:hint="eastAsia"/>
          <w:b w:val="0"/>
          <w:color w:val="auto"/>
          <w:szCs w:val="20"/>
          <w:lang w:val="en-US"/>
        </w:rPr>
        <w:t xml:space="preserve">, while the sharing of target CSI from NW-side to UE-side is not </w:t>
      </w:r>
      <w:r>
        <w:rPr>
          <w:b w:val="0"/>
          <w:bCs w:val="0"/>
          <w:color w:val="auto"/>
          <w:szCs w:val="20"/>
          <w:lang w:val="en-US"/>
        </w:rPr>
        <w:t>essential</w:t>
      </w:r>
      <w:r>
        <w:rPr>
          <w:rFonts w:hint="eastAsia"/>
          <w:b w:val="0"/>
          <w:bCs w:val="0"/>
          <w:color w:val="auto"/>
          <w:szCs w:val="20"/>
          <w:lang w:val="en-US"/>
        </w:rPr>
        <w:t>.</w:t>
      </w:r>
    </w:p>
    <w:p>
      <w:pPr>
        <w:pStyle w:val="147"/>
        <w:snapToGrid w:val="0"/>
        <w:spacing w:before="72" w:after="72"/>
        <w:jc w:val="both"/>
        <w:rPr>
          <w:b w:val="0"/>
          <w:color w:val="auto"/>
          <w:szCs w:val="20"/>
          <w:lang w:val="en-US"/>
        </w:rPr>
      </w:pPr>
      <w:r>
        <w:rPr>
          <w:rFonts w:hint="eastAsia"/>
          <w:b w:val="0"/>
          <w:color w:val="auto"/>
          <w:szCs w:val="20"/>
          <w:lang w:val="en-US"/>
        </w:rPr>
        <w:t>For sub-option 4-1 of Direction A, performance target and model backbone information should be shared from NW-side to UE-side to enable UE-side encoder training, validation, and testing.</w:t>
      </w:r>
    </w:p>
    <w:bookmarkEnd w:id="1"/>
    <w:p>
      <w:pPr>
        <w:overflowPunct w:val="0"/>
        <w:snapToGrid w:val="0"/>
        <w:spacing w:before="72" w:beforeLines="30" w:after="72" w:afterLines="30" w:line="288" w:lineRule="auto"/>
        <w:jc w:val="both"/>
        <w:rPr>
          <w:rFonts w:eastAsia="宋体"/>
          <w:bCs/>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2] NW</w:t>
      </w:r>
      <w:r>
        <w:rPr>
          <w:color w:val="auto"/>
        </w:rPr>
        <w:t>’</w:t>
      </w:r>
      <w:r>
        <w:rPr>
          <w:rFonts w:hint="eastAsia"/>
          <w:color w:val="auto"/>
        </w:rPr>
        <w:t>s proprietary information disclosure</w:t>
      </w:r>
    </w:p>
    <w:p>
      <w:pPr>
        <w:adjustRightInd w:val="0"/>
        <w:snapToGrid w:val="0"/>
        <w:spacing w:before="72" w:beforeLines="30" w:after="72" w:afterLines="30" w:line="288" w:lineRule="auto"/>
        <w:jc w:val="both"/>
        <w:rPr>
          <w:rFonts w:eastAsia="宋体"/>
          <w:color w:val="auto"/>
        </w:rPr>
      </w:pPr>
      <w:r>
        <w:rPr>
          <w:rFonts w:hint="eastAsia"/>
          <w:color w:val="auto"/>
        </w:rPr>
        <w:t xml:space="preserve">In RAN1#118b meeting, the following conclusion was obtained, which clarifies that there is no proprietary information concern of disclosing encoder input/output </w:t>
      </w:r>
      <w:r>
        <w:rPr>
          <w:color w:val="auto"/>
        </w:rPr>
        <w:t>from NW side to UE side</w:t>
      </w:r>
      <w:r>
        <w:rPr>
          <w:rFonts w:hint="eastAsia" w:eastAsia="宋体"/>
          <w:color w:val="auto"/>
        </w:rPr>
        <w:t xml:space="preserve"> </w:t>
      </w:r>
      <w:r>
        <w:rPr>
          <w:rFonts w:hint="eastAsia"/>
          <w:color w:val="auto"/>
        </w:rPr>
        <w:t xml:space="preserve">for </w:t>
      </w:r>
      <w:r>
        <w:rPr>
          <w:rFonts w:hint="eastAsia" w:eastAsia="宋体"/>
          <w:bCs/>
          <w:color w:val="auto"/>
        </w:rPr>
        <w:t>sub-</w:t>
      </w:r>
      <w:r>
        <w:rPr>
          <w:rFonts w:hint="eastAsia"/>
          <w:color w:val="auto"/>
        </w:rPr>
        <w:t xml:space="preserve">option 4-1 and disclosing encoder parameters </w:t>
      </w:r>
      <w:r>
        <w:rPr>
          <w:color w:val="auto"/>
        </w:rPr>
        <w:t>from NW side to UE side</w:t>
      </w:r>
      <w:r>
        <w:rPr>
          <w:rFonts w:hint="eastAsia" w:eastAsia="宋体"/>
          <w:color w:val="auto"/>
        </w:rPr>
        <w:t xml:space="preserve"> </w:t>
      </w:r>
      <w:r>
        <w:rPr>
          <w:rFonts w:hint="eastAsia"/>
          <w:color w:val="auto"/>
        </w:rPr>
        <w:t xml:space="preserve">for </w:t>
      </w:r>
      <w:r>
        <w:rPr>
          <w:rFonts w:hint="eastAsia" w:eastAsia="宋体"/>
          <w:bCs/>
          <w:color w:val="auto"/>
        </w:rPr>
        <w:t>sub-</w:t>
      </w:r>
      <w:r>
        <w:rPr>
          <w:rFonts w:hint="eastAsia"/>
          <w:color w:val="auto"/>
        </w:rPr>
        <w:t>option 3a-1.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auto"/>
              </w:rPr>
            </w:pPr>
            <w:r>
              <w:rPr>
                <w:rFonts w:eastAsia="等线"/>
                <w:b/>
                <w:color w:val="auto"/>
              </w:rPr>
              <w:t>Conclusion</w:t>
            </w:r>
          </w:p>
          <w:p>
            <w:pPr>
              <w:snapToGrid w:val="0"/>
              <w:spacing w:before="72" w:beforeLines="30" w:after="72" w:afterLines="30" w:line="288" w:lineRule="auto"/>
              <w:rPr>
                <w:color w:val="auto"/>
              </w:rPr>
            </w:pPr>
            <w:r>
              <w:rPr>
                <w:color w:val="auto"/>
              </w:rPr>
              <w:t xml:space="preserve">For issues listed for inter-vendor collaboration </w:t>
            </w:r>
            <w:r>
              <w:rPr>
                <w:rFonts w:hint="eastAsia" w:eastAsia="宋体"/>
                <w:color w:val="auto"/>
              </w:rPr>
              <w:t>Direction A</w:t>
            </w:r>
            <w:r>
              <w:rPr>
                <w:color w:val="auto"/>
              </w:rPr>
              <w:t>, conclude the following</w:t>
            </w:r>
          </w:p>
          <w:p>
            <w:pPr>
              <w:numPr>
                <w:ilvl w:val="0"/>
                <w:numId w:val="14"/>
              </w:numPr>
              <w:suppressAutoHyphens/>
              <w:snapToGrid w:val="0"/>
              <w:spacing w:before="72" w:beforeLines="30" w:after="72" w:afterLines="30" w:line="288" w:lineRule="auto"/>
              <w:rPr>
                <w:color w:val="auto"/>
              </w:rPr>
            </w:pPr>
            <w:r>
              <w:rPr>
                <w:rFonts w:hint="eastAsia" w:eastAsia="等线"/>
                <w:color w:val="auto"/>
              </w:rPr>
              <w:t xml:space="preserve">Answer to </w:t>
            </w:r>
            <w:r>
              <w:rPr>
                <w:color w:val="auto"/>
              </w:rPr>
              <w:t xml:space="preserve">Issue 2: </w:t>
            </w:r>
            <w:r>
              <w:rPr>
                <w:rFonts w:hint="eastAsia" w:eastAsia="等线"/>
                <w:color w:val="auto"/>
              </w:rPr>
              <w:t xml:space="preserve">From RAN1 perspective, at least, </w:t>
            </w:r>
          </w:p>
          <w:p>
            <w:pPr>
              <w:numPr>
                <w:ilvl w:val="1"/>
                <w:numId w:val="14"/>
              </w:numPr>
              <w:suppressAutoHyphens/>
              <w:snapToGrid w:val="0"/>
              <w:spacing w:before="72" w:beforeLines="30" w:after="72" w:afterLines="30" w:line="288" w:lineRule="auto"/>
              <w:rPr>
                <w:color w:val="auto"/>
              </w:rPr>
            </w:pPr>
            <w:r>
              <w:rPr>
                <w:rFonts w:eastAsia="等线"/>
                <w:color w:val="auto"/>
              </w:rPr>
              <w:t>F</w:t>
            </w:r>
            <w:r>
              <w:rPr>
                <w:rFonts w:hint="eastAsia" w:eastAsia="等线"/>
                <w:color w:val="auto"/>
              </w:rPr>
              <w:t>or option 4-1, t</w:t>
            </w:r>
            <w:r>
              <w:rPr>
                <w:color w:val="auto"/>
              </w:rPr>
              <w:t xml:space="preserve">here is no proprietary information concern </w:t>
            </w:r>
            <w:r>
              <w:rPr>
                <w:rFonts w:hint="eastAsia" w:eastAsia="等线"/>
                <w:color w:val="auto"/>
              </w:rPr>
              <w:t xml:space="preserve">of </w:t>
            </w:r>
            <w:r>
              <w:rPr>
                <w:color w:val="auto"/>
              </w:rPr>
              <w:t>disclosing encoder input/output from NW side to UE side</w:t>
            </w:r>
          </w:p>
          <w:p>
            <w:pPr>
              <w:numPr>
                <w:ilvl w:val="1"/>
                <w:numId w:val="14"/>
              </w:numPr>
              <w:suppressAutoHyphens/>
              <w:snapToGrid w:val="0"/>
              <w:spacing w:before="72" w:beforeLines="30" w:after="72" w:afterLines="30" w:line="288" w:lineRule="auto"/>
              <w:rPr>
                <w:color w:val="auto"/>
              </w:rPr>
            </w:pPr>
            <w:r>
              <w:rPr>
                <w:rFonts w:hint="eastAsia" w:eastAsia="等线"/>
                <w:color w:val="auto"/>
              </w:rPr>
              <w:t>For option 3a-1, t</w:t>
            </w:r>
            <w:r>
              <w:rPr>
                <w:color w:val="auto"/>
              </w:rPr>
              <w:t xml:space="preserve">here is no proprietary information concern </w:t>
            </w:r>
            <w:r>
              <w:rPr>
                <w:rFonts w:hint="eastAsia" w:eastAsia="等线"/>
                <w:color w:val="auto"/>
              </w:rPr>
              <w:t xml:space="preserve">of </w:t>
            </w:r>
            <w:r>
              <w:rPr>
                <w:color w:val="auto"/>
              </w:rPr>
              <w:t xml:space="preserve">disclosing encoder </w:t>
            </w:r>
            <w:r>
              <w:rPr>
                <w:rFonts w:hint="eastAsia" w:eastAsia="等线"/>
                <w:color w:val="auto"/>
              </w:rPr>
              <w:t>parameters</w:t>
            </w:r>
            <w:r>
              <w:rPr>
                <w:color w:val="auto"/>
              </w:rPr>
              <w:t xml:space="preserve"> from NW side to UE side</w:t>
            </w:r>
          </w:p>
          <w:p>
            <w:pPr>
              <w:numPr>
                <w:ilvl w:val="1"/>
                <w:numId w:val="14"/>
              </w:numPr>
              <w:suppressAutoHyphens/>
              <w:snapToGrid w:val="0"/>
              <w:spacing w:before="72" w:beforeLines="30" w:after="72" w:afterLines="30" w:line="288" w:lineRule="auto"/>
              <w:rPr>
                <w:color w:val="auto"/>
              </w:rPr>
            </w:pPr>
            <w:r>
              <w:rPr>
                <w:rFonts w:hint="eastAsia" w:eastAsia="等线"/>
                <w:color w:val="auto"/>
              </w:rPr>
              <w:t xml:space="preserve">Note: If some additional information is disclosed from network side to UE side, </w:t>
            </w:r>
            <w:r>
              <w:rPr>
                <w:rFonts w:eastAsia="等线"/>
                <w:color w:val="auto"/>
              </w:rPr>
              <w:t>proprietary</w:t>
            </w:r>
            <w:r>
              <w:rPr>
                <w:rFonts w:hint="eastAsia" w:eastAsia="等线"/>
                <w:color w:val="auto"/>
              </w:rPr>
              <w:t xml:space="preserve"> concerns for option 4-1 and 3a-1 can not be precluded by default.</w:t>
            </w:r>
          </w:p>
        </w:tc>
      </w:tr>
    </w:tbl>
    <w:p>
      <w:pPr>
        <w:adjustRightInd w:val="0"/>
        <w:snapToGrid w:val="0"/>
        <w:spacing w:before="72" w:beforeLines="30" w:after="72" w:afterLines="30" w:line="288" w:lineRule="auto"/>
        <w:jc w:val="both"/>
        <w:rPr>
          <w:rFonts w:eastAsia="宋体"/>
          <w:color w:val="auto"/>
        </w:rPr>
      </w:pPr>
      <w:r>
        <w:rPr>
          <w:rFonts w:hint="eastAsia" w:eastAsia="宋体"/>
          <w:color w:val="auto"/>
        </w:rPr>
        <w:t>As mentioned above, there is a need for some additional information sharing from NW side to UE side to facilitate offline engineering tasks at the UE side. The</w:t>
      </w:r>
      <w:r>
        <w:rPr>
          <w:rFonts w:hint="eastAsia" w:eastAsia="宋体"/>
          <w:color w:val="auto"/>
          <w:lang w:val="en-US" w:eastAsia="zh-CN"/>
        </w:rPr>
        <w:t xml:space="preserve"> </w:t>
      </w:r>
      <w:r>
        <w:rPr>
          <w:rFonts w:hint="eastAsia" w:eastAsia="宋体"/>
          <w:color w:val="auto"/>
        </w:rPr>
        <w:t xml:space="preserve">specific information to be shared differs among different inter-vendor collaboration options, resulting in different degrees of </w:t>
      </w:r>
      <w:r>
        <w:rPr>
          <w:rFonts w:hint="eastAsia"/>
          <w:color w:val="auto"/>
        </w:rPr>
        <w:t>disclosure</w:t>
      </w:r>
      <w:r>
        <w:rPr>
          <w:rFonts w:hint="eastAsia" w:eastAsia="宋体"/>
          <w:color w:val="auto"/>
        </w:rPr>
        <w:t xml:space="preserve"> of the </w:t>
      </w:r>
      <w:r>
        <w:rPr>
          <w:rFonts w:hint="eastAsia"/>
          <w:color w:val="auto"/>
        </w:rPr>
        <w:t>NW</w:t>
      </w:r>
      <w:r>
        <w:rPr>
          <w:color w:val="auto"/>
        </w:rPr>
        <w:t>’</w:t>
      </w:r>
      <w:r>
        <w:rPr>
          <w:rFonts w:hint="eastAsia"/>
          <w:color w:val="auto"/>
        </w:rPr>
        <w:t>s proprietary information</w:t>
      </w:r>
      <w:r>
        <w:rPr>
          <w:rFonts w:hint="eastAsia" w:eastAsia="宋体"/>
          <w:color w:val="auto"/>
        </w:rPr>
        <w:t xml:space="preserve">. For sub-option 3a-1, assuming the NW-side additional condition of the training dataset can be aligned between NW and UE by the indication of model ID or associated ID (as defined in other use cases), the UE side can collect the training dataset by implementations. In this case, only performance target needs to be shared from NW to UE and thus there is no proprietary information concern. For sub-options 4-1, apart from the sharing of performance target, additional information regarding the model backbone or structure may need to be shared from NW to UE to facilitate the UE-side encoder training procedures. The model backbone or structure information, potentially along with some </w:t>
      </w:r>
      <w:r>
        <w:rPr>
          <w:rFonts w:eastAsia="宋体"/>
          <w:color w:val="auto"/>
          <w:szCs w:val="20"/>
        </w:rPr>
        <w:t>hyper</w:t>
      </w:r>
      <w:r>
        <w:rPr>
          <w:rFonts w:hint="eastAsia" w:eastAsia="宋体"/>
          <w:color w:val="auto"/>
          <w:szCs w:val="20"/>
        </w:rPr>
        <w:t>-</w:t>
      </w:r>
      <w:r>
        <w:rPr>
          <w:rFonts w:eastAsia="宋体"/>
          <w:color w:val="auto"/>
          <w:szCs w:val="20"/>
        </w:rPr>
        <w:t xml:space="preserve">parameters </w:t>
      </w:r>
      <w:r>
        <w:rPr>
          <w:rFonts w:hint="eastAsia" w:eastAsia="宋体"/>
          <w:color w:val="auto"/>
          <w:szCs w:val="20"/>
        </w:rPr>
        <w:t xml:space="preserve">related to the encoder/decoder training implementations at the NW side, may involve </w:t>
      </w:r>
      <w:r>
        <w:rPr>
          <w:rFonts w:hint="eastAsia"/>
          <w:color w:val="auto"/>
        </w:rPr>
        <w:t>NW</w:t>
      </w:r>
      <w:r>
        <w:rPr>
          <w:color w:val="auto"/>
        </w:rPr>
        <w:t>’</w:t>
      </w:r>
      <w:r>
        <w:rPr>
          <w:rFonts w:hint="eastAsia"/>
          <w:color w:val="auto"/>
        </w:rPr>
        <w:t>s proprietary information disclosure</w:t>
      </w:r>
      <w:r>
        <w:rPr>
          <w:rFonts w:hint="eastAsia" w:eastAsia="宋体"/>
          <w:color w:val="auto"/>
        </w:rPr>
        <w:t xml:space="preserve"> risks if shared to the opposite node openly.</w:t>
      </w:r>
    </w:p>
    <w:p>
      <w:pPr>
        <w:widowControl w:val="0"/>
        <w:snapToGrid w:val="0"/>
        <w:spacing w:before="72" w:beforeLines="30" w:after="72" w:afterLines="30" w:line="288" w:lineRule="auto"/>
        <w:jc w:val="both"/>
        <w:rPr>
          <w:rFonts w:eastAsia="宋体"/>
          <w:i/>
          <w:color w:val="auto"/>
        </w:rPr>
      </w:pPr>
      <w:bookmarkStart w:id="2" w:name="_Hlk178349115"/>
      <w:r>
        <w:rPr>
          <w:rFonts w:hint="eastAsia" w:eastAsiaTheme="minorEastAsia"/>
          <w:b/>
          <w:i/>
          <w:color w:val="auto"/>
        </w:rPr>
        <w:t>Observation</w:t>
      </w:r>
      <w:r>
        <w:rPr>
          <w:rFonts w:eastAsiaTheme="minorEastAsia"/>
          <w:b/>
          <w:i/>
          <w:color w:val="auto"/>
        </w:rPr>
        <w:t xml:space="preserve"> </w:t>
      </w:r>
      <w:r>
        <w:rPr>
          <w:rFonts w:hint="eastAsia" w:eastAsiaTheme="minorEastAsia"/>
          <w:b/>
          <w:i/>
          <w:color w:val="auto"/>
          <w:lang w:val="en-US" w:eastAsia="zh-CN"/>
        </w:rPr>
        <w:t>1</w:t>
      </w:r>
      <w:r>
        <w:rPr>
          <w:rFonts w:eastAsiaTheme="minorEastAsia"/>
          <w:b/>
          <w:i/>
          <w:color w:val="auto"/>
        </w:rPr>
        <w:t xml:space="preserve">: </w:t>
      </w:r>
      <w:r>
        <w:rPr>
          <w:rFonts w:hint="eastAsia" w:eastAsiaTheme="minorEastAsia"/>
          <w:i/>
          <w:color w:val="auto"/>
        </w:rPr>
        <w:t xml:space="preserve">For sub-options 3a-1 and 4-1 of Direction A, </w:t>
      </w:r>
      <w:r>
        <w:rPr>
          <w:rFonts w:hint="eastAsia" w:eastAsia="等线"/>
          <w:i/>
          <w:color w:val="auto"/>
        </w:rPr>
        <w:t>t</w:t>
      </w:r>
      <w:r>
        <w:rPr>
          <w:i/>
          <w:color w:val="auto"/>
        </w:rPr>
        <w:t xml:space="preserve">here is no proprietary information concern </w:t>
      </w:r>
      <w:r>
        <w:rPr>
          <w:rFonts w:hint="eastAsia" w:eastAsia="等线"/>
          <w:i/>
          <w:color w:val="auto"/>
        </w:rPr>
        <w:t xml:space="preserve">of </w:t>
      </w:r>
      <w:r>
        <w:rPr>
          <w:i/>
          <w:color w:val="auto"/>
        </w:rPr>
        <w:t xml:space="preserve">disclosing </w:t>
      </w:r>
      <w:r>
        <w:rPr>
          <w:rFonts w:hint="eastAsia" w:eastAsia="宋体"/>
          <w:i/>
          <w:color w:val="auto"/>
        </w:rPr>
        <w:t>p</w:t>
      </w:r>
      <w:r>
        <w:rPr>
          <w:rFonts w:hint="eastAsia"/>
          <w:i/>
          <w:color w:val="auto"/>
        </w:rPr>
        <w:t>erformance requirements</w:t>
      </w:r>
      <w:r>
        <w:rPr>
          <w:i/>
          <w:color w:val="auto"/>
        </w:rPr>
        <w:t xml:space="preserve"> from NW side to UE side</w:t>
      </w:r>
      <w:r>
        <w:rPr>
          <w:rFonts w:hint="eastAsia" w:eastAsia="宋体"/>
          <w:i/>
          <w:color w:val="auto"/>
        </w:rPr>
        <w:t>.</w:t>
      </w:r>
    </w:p>
    <w:p>
      <w:pPr>
        <w:pStyle w:val="147"/>
        <w:snapToGrid w:val="0"/>
        <w:spacing w:before="72" w:after="72"/>
        <w:jc w:val="both"/>
        <w:rPr>
          <w:b w:val="0"/>
          <w:color w:val="auto"/>
          <w:szCs w:val="20"/>
          <w:lang w:val="en-US"/>
        </w:rPr>
      </w:pPr>
      <w:r>
        <w:rPr>
          <w:rFonts w:hint="eastAsia"/>
          <w:b w:val="0"/>
          <w:color w:val="auto"/>
          <w:szCs w:val="20"/>
          <w:lang w:val="en-US"/>
        </w:rPr>
        <w:t>For sub-option 4-1 of Direction A, the model backbone or structure information can only be shared to the opposite node if the proprietary information of the NW side can be maintained.</w:t>
      </w:r>
    </w:p>
    <w:bookmarkEnd w:id="2"/>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3] Overhead for parameter/dataset/model exchange</w:t>
      </w:r>
    </w:p>
    <w:p>
      <w:pPr>
        <w:adjustRightInd w:val="0"/>
        <w:snapToGrid w:val="0"/>
        <w:spacing w:before="72" w:beforeLines="30" w:after="72" w:afterLines="30" w:line="288" w:lineRule="auto"/>
        <w:jc w:val="both"/>
        <w:rPr>
          <w:color w:val="auto"/>
        </w:rPr>
      </w:pPr>
      <w:r>
        <w:rPr>
          <w:rFonts w:hint="eastAsia"/>
          <w:color w:val="auto"/>
        </w:rPr>
        <w:t xml:space="preserve">Apparently, the overhead depends on whether parameter/dataset/model related to the encoder and/or decoder is exchanged from the NW side to UE side. According to clause 6.2.2.1 of TR 38.843, majority companies </w:t>
      </w:r>
      <w:r>
        <w:rPr>
          <w:color w:val="auto"/>
        </w:rPr>
        <w:t xml:space="preserve">adopt the </w:t>
      </w:r>
      <w:r>
        <w:rPr>
          <w:rFonts w:hint="eastAsia"/>
          <w:color w:val="auto"/>
        </w:rPr>
        <w:t>encoder</w:t>
      </w:r>
      <w:r>
        <w:rPr>
          <w:color w:val="auto"/>
        </w:rPr>
        <w:t xml:space="preserve"> subject to the number of parameters from 1M to 13M, and adopt the </w:t>
      </w:r>
      <w:r>
        <w:rPr>
          <w:rFonts w:hint="eastAsia"/>
          <w:color w:val="auto"/>
        </w:rPr>
        <w:t>decoder</w:t>
      </w:r>
      <w:r>
        <w:rPr>
          <w:color w:val="auto"/>
        </w:rPr>
        <w:t xml:space="preserve"> subject to the number of parameters from 1M to 17M.</w:t>
      </w:r>
      <w:r>
        <w:rPr>
          <w:rFonts w:hint="eastAsia"/>
          <w:color w:val="auto"/>
        </w:rPr>
        <w:t xml:space="preserve"> However, as high as </w:t>
      </w:r>
      <w:r>
        <w:rPr>
          <w:rFonts w:hint="eastAsia" w:eastAsia="宋体"/>
          <w:color w:val="auto"/>
        </w:rPr>
        <w:t>10G</w:t>
      </w:r>
      <w:r>
        <w:rPr>
          <w:rFonts w:hint="eastAsia"/>
          <w:color w:val="auto"/>
        </w:rPr>
        <w:t xml:space="preserve"> data samples are </w:t>
      </w:r>
      <w:r>
        <w:rPr>
          <w:color w:val="auto"/>
        </w:rPr>
        <w:t>adopt</w:t>
      </w:r>
      <w:r>
        <w:rPr>
          <w:rFonts w:hint="eastAsia"/>
          <w:color w:val="auto"/>
        </w:rPr>
        <w:t xml:space="preserve">ed for Type 3 NW-first training, leading to </w:t>
      </w:r>
      <w:r>
        <w:rPr>
          <w:color w:val="auto"/>
        </w:rPr>
        <w:t>considerable</w:t>
      </w:r>
      <w:r>
        <w:rPr>
          <w:rFonts w:hint="eastAsia"/>
          <w:color w:val="auto"/>
        </w:rPr>
        <w:t xml:space="preserve"> overhead and resource consumption for dataset exchange</w:t>
      </w:r>
      <w:r>
        <w:rPr>
          <w:color w:val="auto"/>
        </w:rPr>
        <w:t xml:space="preserve"> </w:t>
      </w:r>
      <w:r>
        <w:rPr>
          <w:rFonts w:hint="eastAsia"/>
          <w:color w:val="auto"/>
        </w:rPr>
        <w:t xml:space="preserve">in </w:t>
      </w:r>
      <w:r>
        <w:rPr>
          <w:rFonts w:hint="eastAsia" w:eastAsia="宋体"/>
          <w:color w:val="auto"/>
        </w:rPr>
        <w:t>sub-</w:t>
      </w:r>
      <w:r>
        <w:rPr>
          <w:rFonts w:hint="eastAsia"/>
          <w:color w:val="auto"/>
        </w:rPr>
        <w:t>option 4</w:t>
      </w:r>
      <w:r>
        <w:rPr>
          <w:rFonts w:hint="eastAsia" w:eastAsia="宋体"/>
          <w:color w:val="auto"/>
        </w:rPr>
        <w:t>-1</w:t>
      </w:r>
      <w:r>
        <w:rPr>
          <w:rFonts w:hint="eastAsia"/>
          <w:color w:val="auto"/>
        </w:rPr>
        <w:t xml:space="preserve">. </w:t>
      </w:r>
      <w:r>
        <w:rPr>
          <w:color w:val="auto"/>
        </w:rPr>
        <w:t xml:space="preserve">This is especially true when compared to </w:t>
      </w:r>
      <w:r>
        <w:rPr>
          <w:rFonts w:hint="eastAsia" w:eastAsia="宋体"/>
          <w:color w:val="auto"/>
        </w:rPr>
        <w:t>sub-</w:t>
      </w:r>
      <w:r>
        <w:rPr>
          <w:rFonts w:hint="eastAsia"/>
          <w:color w:val="auto"/>
        </w:rPr>
        <w:t>o</w:t>
      </w:r>
      <w:r>
        <w:rPr>
          <w:color w:val="auto"/>
        </w:rPr>
        <w:t>ption 3a</w:t>
      </w:r>
      <w:r>
        <w:rPr>
          <w:rFonts w:hint="eastAsia" w:eastAsia="宋体"/>
          <w:color w:val="auto"/>
        </w:rPr>
        <w:t>-1</w:t>
      </w:r>
      <w:r>
        <w:rPr>
          <w:color w:val="auto"/>
        </w:rPr>
        <w:t>, which incur much lower overhead due to the nature of their parameter exchange mechanisms.</w:t>
      </w:r>
      <w:r>
        <w:rPr>
          <w:rFonts w:hint="eastAsia"/>
          <w:color w:val="auto"/>
        </w:rPr>
        <w:t xml:space="preserve"> </w:t>
      </w:r>
      <w:r>
        <w:rPr>
          <w:color w:val="auto"/>
        </w:rPr>
        <w:t xml:space="preserve">In light of these observations, it can be concluded that </w:t>
      </w:r>
      <w:r>
        <w:rPr>
          <w:rFonts w:hint="eastAsia" w:eastAsia="宋体"/>
          <w:color w:val="auto"/>
        </w:rPr>
        <w:t>sub-</w:t>
      </w:r>
      <w:r>
        <w:rPr>
          <w:rFonts w:hint="eastAsia"/>
          <w:color w:val="auto"/>
        </w:rPr>
        <w:t>o</w:t>
      </w:r>
      <w:r>
        <w:rPr>
          <w:color w:val="auto"/>
        </w:rPr>
        <w:t>ption 4</w:t>
      </w:r>
      <w:r>
        <w:rPr>
          <w:rFonts w:hint="eastAsia" w:eastAsia="宋体"/>
          <w:color w:val="auto"/>
        </w:rPr>
        <w:t>-1</w:t>
      </w:r>
      <w:r>
        <w:rPr>
          <w:color w:val="auto"/>
        </w:rPr>
        <w:t xml:space="preserve"> faces </w:t>
      </w:r>
      <w:r>
        <w:rPr>
          <w:rFonts w:hint="eastAsia"/>
          <w:color w:val="auto"/>
        </w:rPr>
        <w:t xml:space="preserve">serious </w:t>
      </w:r>
      <w:r>
        <w:rPr>
          <w:color w:val="auto"/>
        </w:rPr>
        <w:t>overhead concerns</w:t>
      </w:r>
      <w:r>
        <w:rPr>
          <w:rFonts w:hint="eastAsia" w:eastAsia="宋体"/>
          <w:color w:val="auto"/>
        </w:rPr>
        <w:t>, regardless of whether it is implemented by over the air delivery or offline delivery method</w:t>
      </w:r>
      <w:r>
        <w:rPr>
          <w:color w:val="auto"/>
        </w:rPr>
        <w:t xml:space="preserve">. The extent of this overhead raises questions about the feasibility of implementing </w:t>
      </w:r>
      <w:r>
        <w:rPr>
          <w:rFonts w:hint="eastAsia" w:eastAsia="宋体"/>
          <w:color w:val="auto"/>
        </w:rPr>
        <w:t>sub-</w:t>
      </w:r>
      <w:r>
        <w:rPr>
          <w:rFonts w:hint="eastAsia"/>
          <w:color w:val="auto"/>
        </w:rPr>
        <w:t>o</w:t>
      </w:r>
      <w:r>
        <w:rPr>
          <w:color w:val="auto"/>
        </w:rPr>
        <w:t>ption 4</w:t>
      </w:r>
      <w:r>
        <w:rPr>
          <w:rFonts w:hint="eastAsia" w:eastAsia="宋体"/>
          <w:color w:val="auto"/>
        </w:rPr>
        <w:t>-1</w:t>
      </w:r>
      <w:r>
        <w:rPr>
          <w:color w:val="auto"/>
        </w:rPr>
        <w:t xml:space="preserve"> in practice, particularly when weighed against the relatively lower overhead associated with other options.</w:t>
      </w:r>
    </w:p>
    <w:p>
      <w:pPr>
        <w:widowControl w:val="0"/>
        <w:snapToGrid w:val="0"/>
        <w:spacing w:before="72" w:beforeLines="30" w:after="72" w:afterLines="30" w:line="288" w:lineRule="auto"/>
        <w:jc w:val="both"/>
        <w:rPr>
          <w:rFonts w:eastAsiaTheme="minorEastAsia"/>
          <w:i/>
          <w:color w:val="auto"/>
        </w:rPr>
      </w:pPr>
      <w:bookmarkStart w:id="3" w:name="_Hlk178349497"/>
      <w:r>
        <w:rPr>
          <w:rFonts w:hint="eastAsia" w:eastAsiaTheme="minorEastAsia"/>
          <w:b/>
          <w:i/>
          <w:color w:val="auto"/>
        </w:rPr>
        <w:t>Observation</w:t>
      </w:r>
      <w:r>
        <w:rPr>
          <w:rFonts w:eastAsiaTheme="minorEastAsia"/>
          <w:b/>
          <w:i/>
          <w:color w:val="auto"/>
        </w:rPr>
        <w:t xml:space="preserve"> </w:t>
      </w:r>
      <w:r>
        <w:rPr>
          <w:rFonts w:hint="eastAsia" w:eastAsiaTheme="minorEastAsia"/>
          <w:b/>
          <w:i/>
          <w:color w:val="auto"/>
          <w:lang w:val="en-US" w:eastAsia="zh-CN"/>
        </w:rPr>
        <w:t>2</w:t>
      </w:r>
      <w:r>
        <w:rPr>
          <w:rFonts w:eastAsiaTheme="minorEastAsia"/>
          <w:b/>
          <w:i/>
          <w:color w:val="auto"/>
        </w:rPr>
        <w:t xml:space="preserve">: </w:t>
      </w:r>
      <w:r>
        <w:rPr>
          <w:rFonts w:hint="eastAsia" w:eastAsiaTheme="minorEastAsia"/>
          <w:i/>
          <w:color w:val="auto"/>
        </w:rPr>
        <w:t>For Direction A, sub-option 4-1 faces serious overhead concerns, while sub-options 3a-1 incur much lower overhead due to the nature of their parameter exchange mechanisms.</w:t>
      </w:r>
    </w:p>
    <w:bookmarkEnd w:id="3"/>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4] Performance impact due to data distribution mismatch between NW side and UE side</w:t>
      </w:r>
    </w:p>
    <w:p>
      <w:pPr>
        <w:adjustRightInd w:val="0"/>
        <w:snapToGrid w:val="0"/>
        <w:spacing w:before="72" w:beforeLines="30" w:after="72" w:afterLines="30" w:line="288" w:lineRule="auto"/>
        <w:jc w:val="both"/>
        <w:rPr>
          <w:color w:val="auto"/>
        </w:rPr>
      </w:pPr>
      <w:r>
        <w:rPr>
          <w:rFonts w:hint="eastAsia"/>
          <w:color w:val="auto"/>
        </w:rPr>
        <w:t xml:space="preserve">As an important impacting factor of data distribution, additional conditions have been defined in Rel-18, which are aspects assumed for model training but not part of UE capability. Generalization evaluations from Rel-18 have demonstrated that some NW-side additional conditions (e.g., </w:t>
      </w:r>
      <w:r>
        <w:rPr>
          <w:color w:val="auto"/>
        </w:rPr>
        <w:t>TxRU mappings</w:t>
      </w:r>
      <w:r>
        <w:rPr>
          <w:rFonts w:hint="eastAsia" w:eastAsia="宋体"/>
          <w:color w:val="auto"/>
        </w:rPr>
        <w:t xml:space="preserve">, </w:t>
      </w:r>
      <w:r>
        <w:rPr>
          <w:rFonts w:hint="eastAsia" w:eastAsia="宋体"/>
          <w:bCs/>
          <w:color w:val="auto"/>
        </w:rPr>
        <w:t>antenna height, antenna down tilt</w:t>
      </w:r>
      <w:r>
        <w:rPr>
          <w:rFonts w:hint="eastAsia"/>
          <w:color w:val="auto"/>
        </w:rPr>
        <w:t xml:space="preserve">) and UE-side additional conditions (e.g., </w:t>
      </w:r>
      <w:r>
        <w:rPr>
          <w:color w:val="auto"/>
        </w:rPr>
        <w:t>phase normalization</w:t>
      </w:r>
      <w:r>
        <w:rPr>
          <w:rFonts w:hint="eastAsia" w:eastAsia="宋体"/>
          <w:color w:val="auto"/>
        </w:rPr>
        <w:t xml:space="preserve">, </w:t>
      </w:r>
      <w:r>
        <w:rPr>
          <w:rFonts w:hint="eastAsia"/>
          <w:color w:val="auto"/>
        </w:rPr>
        <w:t>RF characteristics) may</w:t>
      </w:r>
      <w:r>
        <w:rPr>
          <w:rFonts w:hint="eastAsia" w:eastAsia="宋体"/>
          <w:color w:val="auto"/>
        </w:rPr>
        <w:t xml:space="preserve"> </w:t>
      </w:r>
      <w:r>
        <w:rPr>
          <w:rFonts w:hint="eastAsia"/>
          <w:color w:val="auto"/>
        </w:rPr>
        <w:t>have a</w:t>
      </w:r>
      <w:r>
        <w:rPr>
          <w:rFonts w:hint="eastAsia" w:eastAsia="宋体"/>
          <w:color w:val="auto"/>
        </w:rPr>
        <w:t xml:space="preserve">n </w:t>
      </w:r>
      <w:r>
        <w:rPr>
          <w:rFonts w:hint="eastAsia"/>
          <w:color w:val="auto"/>
        </w:rPr>
        <w:t xml:space="preserve">impact on the CSI compression performance. It should be clear that for the proprietary design of both sides, the underlying NW-side and UE-side additional conditions of the dataset for encoder training at the UE side should be aligned </w:t>
      </w:r>
      <w:r>
        <w:rPr>
          <w:rFonts w:hint="eastAsia" w:eastAsia="宋体"/>
          <w:color w:val="auto"/>
        </w:rPr>
        <w:t xml:space="preserve">or similar </w:t>
      </w:r>
      <w:r>
        <w:rPr>
          <w:rFonts w:hint="eastAsia"/>
          <w:color w:val="auto"/>
        </w:rPr>
        <w:t xml:space="preserve">with that of the dataset for decoder training at the NW side. Otherwise, unaligned NW-side or UE-side additional conditions across training and inference, or between the NW-side and UE-side </w:t>
      </w:r>
      <w:r>
        <w:rPr>
          <w:rFonts w:hint="eastAsia" w:eastAsia="宋体"/>
          <w:color w:val="auto"/>
        </w:rPr>
        <w:t xml:space="preserve">may </w:t>
      </w:r>
      <w:r>
        <w:rPr>
          <w:rFonts w:hint="eastAsia"/>
          <w:color w:val="auto"/>
        </w:rPr>
        <w:t xml:space="preserve">result in </w:t>
      </w:r>
      <w:r>
        <w:rPr>
          <w:rFonts w:hint="eastAsia" w:eastAsia="宋体"/>
          <w:color w:val="auto"/>
        </w:rPr>
        <w:t xml:space="preserve">potential </w:t>
      </w:r>
      <w:r>
        <w:rPr>
          <w:rFonts w:hint="eastAsia"/>
          <w:color w:val="auto"/>
        </w:rPr>
        <w:t xml:space="preserve">performance degradation. </w:t>
      </w:r>
    </w:p>
    <w:p>
      <w:pPr>
        <w:adjustRightInd w:val="0"/>
        <w:snapToGrid w:val="0"/>
        <w:spacing w:before="72" w:beforeLines="30" w:after="72" w:afterLines="30" w:line="288" w:lineRule="auto"/>
        <w:jc w:val="both"/>
        <w:rPr>
          <w:color w:val="auto"/>
        </w:rPr>
      </w:pPr>
      <w:r>
        <w:rPr>
          <w:rFonts w:hint="eastAsia" w:eastAsia="宋体"/>
          <w:color w:val="auto"/>
        </w:rPr>
        <w:t xml:space="preserve">For the alignment of </w:t>
      </w:r>
      <w:r>
        <w:rPr>
          <w:rFonts w:hint="eastAsia"/>
          <w:color w:val="auto"/>
        </w:rPr>
        <w:t>NW-side</w:t>
      </w:r>
      <w:r>
        <w:rPr>
          <w:rFonts w:hint="eastAsia" w:eastAsia="宋体"/>
          <w:color w:val="auto"/>
        </w:rPr>
        <w:t xml:space="preserve"> </w:t>
      </w:r>
      <w:r>
        <w:rPr>
          <w:rFonts w:hint="eastAsia"/>
          <w:color w:val="auto"/>
        </w:rPr>
        <w:t xml:space="preserve">additional conditions, as discussed in other agendas such as AI beam management, this kind of alignment on additional conditions can be achieved by associated ID </w:t>
      </w:r>
      <w:r>
        <w:rPr>
          <w:rFonts w:hint="eastAsia" w:eastAsia="宋体"/>
          <w:color w:val="auto"/>
        </w:rPr>
        <w:t>indication</w:t>
      </w:r>
      <w:r>
        <w:rPr>
          <w:rFonts w:hint="eastAsia"/>
          <w:color w:val="auto"/>
        </w:rPr>
        <w:t xml:space="preserve">, which is used for data categorization to ensure consistency of both sides. </w:t>
      </w:r>
      <w:r>
        <w:rPr>
          <w:rFonts w:hint="eastAsia" w:eastAsia="宋体"/>
          <w:color w:val="auto"/>
        </w:rPr>
        <w:t>For the alignment of UE</w:t>
      </w:r>
      <w:r>
        <w:rPr>
          <w:rFonts w:hint="eastAsia"/>
          <w:color w:val="auto"/>
        </w:rPr>
        <w:t>-side</w:t>
      </w:r>
      <w:r>
        <w:rPr>
          <w:rFonts w:hint="eastAsia" w:eastAsia="宋体"/>
          <w:color w:val="auto"/>
        </w:rPr>
        <w:t xml:space="preserve"> </w:t>
      </w:r>
      <w:r>
        <w:rPr>
          <w:rFonts w:hint="eastAsia"/>
          <w:color w:val="auto"/>
        </w:rPr>
        <w:t xml:space="preserve">additional conditions, </w:t>
      </w:r>
      <w:r>
        <w:rPr>
          <w:rFonts w:hint="eastAsia" w:eastAsia="宋体"/>
          <w:color w:val="auto"/>
        </w:rPr>
        <w:t xml:space="preserve">according to our preliminary simulations, if the </w:t>
      </w:r>
      <w:r>
        <w:rPr>
          <w:color w:val="auto"/>
        </w:rPr>
        <w:t xml:space="preserve">NW side </w:t>
      </w:r>
      <w:r>
        <w:rPr>
          <w:rFonts w:hint="eastAsia" w:eastAsia="宋体"/>
          <w:color w:val="auto"/>
        </w:rPr>
        <w:t xml:space="preserve">is able to </w:t>
      </w:r>
      <w:r>
        <w:rPr>
          <w:color w:val="auto"/>
        </w:rPr>
        <w:t xml:space="preserve">timely </w:t>
      </w:r>
      <w:r>
        <w:rPr>
          <w:rFonts w:hint="eastAsia" w:eastAsia="宋体"/>
          <w:color w:val="auto"/>
        </w:rPr>
        <w:t xml:space="preserve">collect data from different UEs and train/update the CSI compression model with mixed dataset, the data distribution mismatch with respect to UE-side additional condition only causes marginal performance loss. </w:t>
      </w:r>
      <w:r>
        <w:rPr>
          <w:rFonts w:hint="eastAsia"/>
          <w:color w:val="auto"/>
        </w:rPr>
        <w:t xml:space="preserve">Therefore, for inter-vendor training collaboration </w:t>
      </w:r>
      <w:r>
        <w:rPr>
          <w:rFonts w:hint="eastAsia" w:eastAsia="宋体"/>
          <w:color w:val="auto"/>
        </w:rPr>
        <w:t>sub-</w:t>
      </w:r>
      <w:r>
        <w:rPr>
          <w:rFonts w:hint="eastAsia"/>
          <w:color w:val="auto"/>
        </w:rPr>
        <w:t>options 3a</w:t>
      </w:r>
      <w:r>
        <w:rPr>
          <w:rFonts w:hint="eastAsia" w:eastAsia="宋体"/>
          <w:color w:val="auto"/>
        </w:rPr>
        <w:t>-1</w:t>
      </w:r>
      <w:r>
        <w:rPr>
          <w:rFonts w:hint="eastAsia"/>
          <w:color w:val="auto"/>
        </w:rPr>
        <w:t>/4</w:t>
      </w:r>
      <w:r>
        <w:rPr>
          <w:rFonts w:hint="eastAsia" w:eastAsia="宋体"/>
          <w:color w:val="auto"/>
        </w:rPr>
        <w:t>-1</w:t>
      </w:r>
      <w:r>
        <w:rPr>
          <w:rFonts w:hint="eastAsia"/>
          <w:color w:val="auto"/>
        </w:rPr>
        <w:t xml:space="preserve">, if the NW-side and UE-side additional conditions used for </w:t>
      </w:r>
      <w:r>
        <w:rPr>
          <w:rFonts w:hint="eastAsia" w:eastAsia="宋体"/>
          <w:color w:val="auto"/>
        </w:rPr>
        <w:t>model</w:t>
      </w:r>
      <w:r>
        <w:rPr>
          <w:rFonts w:hint="eastAsia"/>
          <w:color w:val="auto"/>
        </w:rPr>
        <w:t xml:space="preserve"> training can be communicated to the counterpart in advance, e.g., in the form of associated ID or </w:t>
      </w:r>
      <w:r>
        <w:rPr>
          <w:rFonts w:hint="eastAsia" w:eastAsia="宋体"/>
          <w:color w:val="auto"/>
        </w:rPr>
        <w:t>by timely data collection</w:t>
      </w:r>
      <w:r>
        <w:rPr>
          <w:rFonts w:hint="eastAsia"/>
          <w:color w:val="auto"/>
        </w:rPr>
        <w:t xml:space="preserve">, it can be assumed that the NW-side data distribution and UE-side data distribution </w:t>
      </w:r>
      <w:r>
        <w:rPr>
          <w:rFonts w:hint="eastAsia" w:eastAsia="宋体"/>
          <w:color w:val="auto"/>
        </w:rPr>
        <w:t xml:space="preserve">can be </w:t>
      </w:r>
      <w:r>
        <w:rPr>
          <w:rFonts w:hint="eastAsia"/>
          <w:color w:val="auto"/>
        </w:rPr>
        <w:t>matched. Consequently, this approach precludes any foreseen data distribution mismatch, thereby upholding the performance integrity of the AI/ML-based CSI compression models across different vendor implementations.</w:t>
      </w:r>
    </w:p>
    <w:p>
      <w:pPr>
        <w:pStyle w:val="147"/>
        <w:snapToGrid w:val="0"/>
        <w:spacing w:before="72" w:after="72"/>
        <w:jc w:val="both"/>
        <w:rPr>
          <w:b w:val="0"/>
          <w:color w:val="auto"/>
          <w:szCs w:val="20"/>
          <w:lang w:val="en-US"/>
        </w:rPr>
      </w:pPr>
      <w:bookmarkStart w:id="4" w:name="_Hlk178349514"/>
      <w:r>
        <w:rPr>
          <w:rFonts w:hint="eastAsia"/>
          <w:b w:val="0"/>
          <w:color w:val="auto"/>
          <w:szCs w:val="20"/>
          <w:lang w:val="en-US"/>
        </w:rPr>
        <w:t>For data distribution mismatch with respect to NW-side additional conditions for Direction A, it can be resolved by the indication of associated ID which implicitly abstracts the NW-side additional conditions.</w:t>
      </w:r>
    </w:p>
    <w:p>
      <w:pPr>
        <w:pStyle w:val="147"/>
        <w:snapToGrid w:val="0"/>
        <w:spacing w:before="72" w:after="72"/>
        <w:jc w:val="both"/>
        <w:rPr>
          <w:b w:val="0"/>
          <w:color w:val="auto"/>
          <w:szCs w:val="20"/>
          <w:lang w:val="en-US"/>
        </w:rPr>
      </w:pPr>
      <w:r>
        <w:rPr>
          <w:rFonts w:hint="eastAsia"/>
          <w:b w:val="0"/>
          <w:color w:val="auto"/>
          <w:szCs w:val="20"/>
          <w:lang w:val="en-US"/>
        </w:rPr>
        <w:t>For data distribution mismatch with respect to UE-side additional conditions for Direction A, it can be resolved by NW side timely data collection and subsequent update of delivered dataset/parameter to the UE side.</w:t>
      </w:r>
    </w:p>
    <w:bookmarkEnd w:id="4"/>
    <w:p>
      <w:pPr>
        <w:rPr>
          <w:color w:val="auto"/>
          <w:sz w:val="22"/>
        </w:rPr>
      </w:pPr>
    </w:p>
    <w:p>
      <w:pPr>
        <w:numPr>
          <w:ilvl w:val="2"/>
          <w:numId w:val="10"/>
        </w:numPr>
        <w:adjustRightInd w:val="0"/>
        <w:snapToGrid w:val="0"/>
        <w:spacing w:before="72" w:beforeLines="30" w:after="72" w:afterLines="30" w:line="288" w:lineRule="auto"/>
        <w:jc w:val="both"/>
        <w:outlineLvl w:val="2"/>
        <w:rPr>
          <w:rFonts w:eastAsia="宋体"/>
          <w:b/>
          <w:color w:val="auto"/>
          <w:sz w:val="22"/>
        </w:rPr>
      </w:pPr>
      <w:r>
        <w:rPr>
          <w:rFonts w:hint="eastAsia" w:eastAsia="宋体"/>
          <w:b/>
          <w:color w:val="auto"/>
          <w:sz w:val="22"/>
        </w:rPr>
        <w:t>Direction B with on-device operation</w:t>
      </w:r>
    </w:p>
    <w:p>
      <w:pPr>
        <w:adjustRightInd w:val="0"/>
        <w:snapToGrid w:val="0"/>
        <w:spacing w:before="72" w:beforeLines="30" w:after="72" w:afterLines="30" w:line="288" w:lineRule="auto"/>
        <w:jc w:val="both"/>
        <w:rPr>
          <w:color w:val="auto"/>
        </w:rPr>
      </w:pPr>
      <w:r>
        <w:rPr>
          <w:rFonts w:hint="eastAsia"/>
          <w:color w:val="auto"/>
        </w:rPr>
        <w:t xml:space="preserve">Regarding </w:t>
      </w:r>
      <w:r>
        <w:rPr>
          <w:rFonts w:hint="eastAsia" w:eastAsia="宋体"/>
          <w:color w:val="auto"/>
        </w:rPr>
        <w:t>Direction B</w:t>
      </w:r>
      <w:r>
        <w:rPr>
          <w:rFonts w:hint="eastAsia"/>
          <w:color w:val="auto"/>
        </w:rPr>
        <w:t xml:space="preserve"> (i.e., inter vendor collaboration option 3b), the </w:t>
      </w:r>
      <w:r>
        <w:rPr>
          <w:color w:val="auto"/>
          <w:lang w:eastAsia="en-US"/>
        </w:rPr>
        <w:t>parameters</w:t>
      </w:r>
      <w:r>
        <w:rPr>
          <w:rFonts w:hint="eastAsia"/>
          <w:color w:val="auto"/>
        </w:rPr>
        <w:t xml:space="preserve"> of the encoder are exchanged from the NW side to UE side via over the air-interface signaling, which are then directly used for inference at the UE without offline engineering, potentially with one-device operations. Compared with </w:t>
      </w:r>
      <w:r>
        <w:rPr>
          <w:rFonts w:hint="eastAsia" w:eastAsia="宋体"/>
          <w:color w:val="auto"/>
        </w:rPr>
        <w:t>Direction A</w:t>
      </w:r>
      <w:r>
        <w:rPr>
          <w:rFonts w:hint="eastAsia"/>
          <w:color w:val="auto"/>
        </w:rPr>
        <w:t xml:space="preserve"> with UE-side offline engineering, </w:t>
      </w:r>
      <w:r>
        <w:rPr>
          <w:rFonts w:hint="eastAsia" w:eastAsia="宋体"/>
          <w:color w:val="auto"/>
        </w:rPr>
        <w:t>Direction B</w:t>
      </w:r>
      <w:r>
        <w:rPr>
          <w:rFonts w:hint="eastAsia"/>
          <w:color w:val="auto"/>
        </w:rPr>
        <w:t xml:space="preserve"> serves shorter deployment time scales and device-specific engineering work is saved. However, the following feasibility issues are identified </w:t>
      </w:r>
      <w:r>
        <w:rPr>
          <w:rFonts w:hint="eastAsia" w:eastAsia="宋体"/>
          <w:color w:val="auto"/>
        </w:rPr>
        <w:t xml:space="preserve">and discussed </w:t>
      </w:r>
      <w:r>
        <w:rPr>
          <w:rFonts w:hint="eastAsia"/>
          <w:color w:val="auto"/>
        </w:rPr>
        <w:t>by companies in RAN1#118</w:t>
      </w:r>
      <w:r>
        <w:rPr>
          <w:rFonts w:hint="eastAsia" w:eastAsia="宋体"/>
          <w:color w:val="auto"/>
        </w:rPr>
        <w:t>b</w:t>
      </w:r>
      <w:r>
        <w:rPr>
          <w:rFonts w:hint="eastAsia"/>
          <w:color w:val="auto"/>
        </w:rPr>
        <w:t xml:space="preserve"> meeting.</w:t>
      </w:r>
    </w:p>
    <w:p>
      <w:pPr>
        <w:numPr>
          <w:ilvl w:val="0"/>
          <w:numId w:val="13"/>
        </w:numPr>
        <w:adjustRightInd w:val="0"/>
        <w:snapToGrid w:val="0"/>
        <w:spacing w:before="72" w:beforeLines="30" w:after="72" w:afterLines="30" w:line="288" w:lineRule="auto"/>
        <w:jc w:val="both"/>
        <w:rPr>
          <w:color w:val="auto"/>
        </w:rPr>
      </w:pPr>
      <w:r>
        <w:rPr>
          <w:rFonts w:hint="eastAsia"/>
          <w:color w:val="auto"/>
        </w:rPr>
        <w:t>[Issue 3] Overhead for parameter/dataset/model exchange</w:t>
      </w:r>
    </w:p>
    <w:p>
      <w:pPr>
        <w:adjustRightInd w:val="0"/>
        <w:snapToGrid w:val="0"/>
        <w:spacing w:before="72" w:beforeLines="30" w:after="72" w:afterLines="30" w:line="288" w:lineRule="auto"/>
        <w:jc w:val="both"/>
        <w:rPr>
          <w:color w:val="auto"/>
        </w:rPr>
      </w:pPr>
      <w:r>
        <w:rPr>
          <w:rFonts w:hint="eastAsia"/>
          <w:color w:val="auto"/>
        </w:rPr>
        <w:t>In RAN1#118b meeting, the following agreement was reached to clarify the impacting factors of overhead issues.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auto"/>
                <w:u w:val="single"/>
              </w:rPr>
            </w:pPr>
            <w:r>
              <w:rPr>
                <w:rFonts w:hint="eastAsia" w:eastAsia="等线"/>
                <w:b/>
                <w:color w:val="auto"/>
                <w:u w:val="single"/>
              </w:rPr>
              <w:t>Agreement</w:t>
            </w:r>
          </w:p>
          <w:p>
            <w:pPr>
              <w:snapToGrid w:val="0"/>
              <w:spacing w:before="72" w:beforeLines="30" w:after="72" w:afterLines="30" w:line="288" w:lineRule="auto"/>
              <w:rPr>
                <w:color w:val="auto"/>
              </w:rPr>
            </w:pPr>
            <w:r>
              <w:rPr>
                <w:color w:val="auto"/>
              </w:rPr>
              <w:t xml:space="preserve">For issues listed for inter-vendor collaboration </w:t>
            </w:r>
            <w:r>
              <w:rPr>
                <w:rFonts w:hint="eastAsia" w:eastAsia="宋体"/>
                <w:color w:val="auto"/>
              </w:rPr>
              <w:t>Direction B</w:t>
            </w:r>
            <w:r>
              <w:rPr>
                <w:color w:val="auto"/>
              </w:rPr>
              <w:t xml:space="preserve">, </w:t>
            </w:r>
            <w:r>
              <w:rPr>
                <w:rFonts w:hint="eastAsia" w:eastAsia="等线"/>
                <w:color w:val="auto"/>
              </w:rPr>
              <w:t>f</w:t>
            </w:r>
            <w:r>
              <w:rPr>
                <w:color w:val="auto"/>
                <w:lang w:eastAsia="ko-KR"/>
              </w:rPr>
              <w:t xml:space="preserve">urther study the overhead in </w:t>
            </w:r>
            <w:r>
              <w:rPr>
                <w:rFonts w:hint="eastAsia" w:eastAsia="宋体"/>
                <w:color w:val="auto"/>
              </w:rPr>
              <w:t>Direction B</w:t>
            </w:r>
            <w:r>
              <w:rPr>
                <w:color w:val="auto"/>
                <w:lang w:eastAsia="ko-KR"/>
              </w:rPr>
              <w:t xml:space="preserve"> based on the size of the encoder (i.e., number of parameters and quantization level), the number of encoders, and how often the parameters need to be transferred.</w:t>
            </w:r>
          </w:p>
        </w:tc>
      </w:tr>
    </w:tbl>
    <w:p>
      <w:pPr>
        <w:adjustRightInd w:val="0"/>
        <w:snapToGrid w:val="0"/>
        <w:spacing w:before="72" w:beforeLines="30" w:after="72" w:afterLines="30" w:line="288" w:lineRule="auto"/>
        <w:jc w:val="both"/>
        <w:rPr>
          <w:rFonts w:eastAsia="宋体"/>
          <w:color w:val="auto"/>
        </w:rPr>
      </w:pPr>
      <w:r>
        <w:rPr>
          <w:color w:val="auto"/>
        </w:rPr>
        <w:t xml:space="preserve">For </w:t>
      </w:r>
      <w:r>
        <w:rPr>
          <w:rFonts w:hint="eastAsia"/>
          <w:color w:val="auto"/>
        </w:rPr>
        <w:t>o</w:t>
      </w:r>
      <w:r>
        <w:rPr>
          <w:color w:val="auto"/>
        </w:rPr>
        <w:t xml:space="preserve">ption 3b, the exchange of parameters from the NW-side to the UE-side is confined to the encoder component. According to the evaluations conducted in Release 18, the </w:t>
      </w:r>
      <w:r>
        <w:rPr>
          <w:rFonts w:hint="eastAsia" w:eastAsia="宋体"/>
          <w:color w:val="auto"/>
        </w:rPr>
        <w:t>number of parameters</w:t>
      </w:r>
      <w:r>
        <w:rPr>
          <w:color w:val="auto"/>
        </w:rPr>
        <w:t xml:space="preserve"> associated with such parameter exchanges is estimated to range between 1 million to 13 million</w:t>
      </w:r>
      <w:r>
        <w:rPr>
          <w:rFonts w:hint="eastAsia" w:eastAsia="宋体"/>
          <w:color w:val="auto"/>
        </w:rPr>
        <w:t xml:space="preserve">, which makes it an attraction option in comparison to the dataset transfer related options from overhead consumption perspective. </w:t>
      </w:r>
      <w:r>
        <w:rPr>
          <w:rFonts w:hint="eastAsia" w:eastAsia="宋体"/>
          <w:color w:val="auto"/>
        </w:rPr>
        <w:t xml:space="preserve">Additionally, considering the doubtful feasibility of inter-cell/vendors collaboration about the encoder/parameter details, we can assume cell-specific encoder training and delivery for Direction B. In this case, the update of encoder and the transferring of parameters are not expected to be occurred frequently due to the relatively stable communication environment and NW-side software/hardware implementations within a cell. For other impacting factors of overhead issues, </w:t>
      </w:r>
      <w:r>
        <w:rPr>
          <w:color w:val="auto"/>
        </w:rPr>
        <w:t>such as data pre-processing and quantization</w:t>
      </w:r>
      <w:r>
        <w:rPr>
          <w:rFonts w:hint="eastAsia" w:eastAsia="宋体"/>
          <w:color w:val="auto"/>
        </w:rPr>
        <w:t>,</w:t>
      </w:r>
      <w:r>
        <w:rPr>
          <w:color w:val="auto"/>
        </w:rPr>
        <w:t xml:space="preserve"> </w:t>
      </w:r>
      <w:r>
        <w:rPr>
          <w:rFonts w:hint="eastAsia" w:eastAsia="宋体"/>
          <w:color w:val="auto"/>
        </w:rPr>
        <w:t xml:space="preserve">they may be </w:t>
      </w:r>
      <w:r>
        <w:rPr>
          <w:color w:val="auto"/>
        </w:rPr>
        <w:t xml:space="preserve">crucial to ensure that the parameters are compatible and can be effectively utilized by the UE upon receipt. </w:t>
      </w:r>
      <w:r>
        <w:rPr>
          <w:rFonts w:hint="eastAsia" w:eastAsia="宋体"/>
          <w:color w:val="auto"/>
        </w:rPr>
        <w:t xml:space="preserve">However, the overhead brought by data </w:t>
      </w:r>
      <w:r>
        <w:rPr>
          <w:color w:val="auto"/>
        </w:rPr>
        <w:t>pre-processing</w:t>
      </w:r>
      <w:r>
        <w:rPr>
          <w:rFonts w:hint="eastAsia" w:eastAsia="宋体"/>
          <w:color w:val="auto"/>
        </w:rPr>
        <w:t xml:space="preserve"> or quantization alignment is apparently </w:t>
      </w:r>
      <w:r>
        <w:rPr>
          <w:color w:val="auto"/>
        </w:rPr>
        <w:t>within acceptable limits</w:t>
      </w:r>
      <w:r>
        <w:rPr>
          <w:rFonts w:hint="eastAsia" w:eastAsia="宋体"/>
          <w:color w:val="auto"/>
        </w:rPr>
        <w:t xml:space="preserve"> and would not contribute much to the overall overhead. Therefore, we conclude that from overhead consumption perspective, </w:t>
      </w:r>
      <w:r>
        <w:rPr>
          <w:rFonts w:hint="eastAsia"/>
          <w:color w:val="auto"/>
        </w:rPr>
        <w:t>o</w:t>
      </w:r>
      <w:r>
        <w:rPr>
          <w:color w:val="auto"/>
        </w:rPr>
        <w:t xml:space="preserve">ption 3b </w:t>
      </w:r>
      <w:r>
        <w:rPr>
          <w:rFonts w:hint="eastAsia" w:eastAsia="宋体"/>
          <w:color w:val="auto"/>
        </w:rPr>
        <w:t>may be a</w:t>
      </w:r>
      <w:r>
        <w:rPr>
          <w:color w:val="auto"/>
        </w:rPr>
        <w:t xml:space="preserve"> viable approach for inter-vendor training collaboration in the context of AI/ML-based CSI compression</w:t>
      </w:r>
      <w:r>
        <w:rPr>
          <w:rFonts w:hint="eastAsia" w:eastAsia="宋体"/>
          <w:color w:val="auto"/>
        </w:rPr>
        <w:t>.</w:t>
      </w:r>
    </w:p>
    <w:p>
      <w:pPr>
        <w:pStyle w:val="147"/>
        <w:snapToGrid w:val="0"/>
        <w:spacing w:before="72" w:after="72"/>
        <w:jc w:val="both"/>
        <w:rPr>
          <w:b w:val="0"/>
          <w:color w:val="auto"/>
          <w:szCs w:val="20"/>
          <w:lang w:val="en-US"/>
        </w:rPr>
      </w:pPr>
      <w:bookmarkStart w:id="5" w:name="_Hlk178349525"/>
      <w:r>
        <w:rPr>
          <w:rFonts w:hint="eastAsia"/>
          <w:b w:val="0"/>
          <w:color w:val="auto"/>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bookmarkEnd w:id="5"/>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5] Feasibility of general or UE-specific encoder design</w:t>
      </w:r>
    </w:p>
    <w:p>
      <w:pPr>
        <w:adjustRightInd w:val="0"/>
        <w:snapToGrid w:val="0"/>
        <w:spacing w:before="72" w:beforeLines="30" w:after="72" w:afterLines="30" w:line="288" w:lineRule="auto"/>
        <w:jc w:val="both"/>
        <w:rPr>
          <w:rFonts w:eastAsia="宋体"/>
          <w:color w:val="auto"/>
        </w:rPr>
      </w:pPr>
      <w:r>
        <w:rPr>
          <w:rFonts w:hint="eastAsia"/>
          <w:color w:val="auto"/>
        </w:rPr>
        <w:t>There is an inherent diversity among different UE</w:t>
      </w:r>
      <w:r>
        <w:rPr>
          <w:rFonts w:hint="eastAsia" w:eastAsia="宋体"/>
          <w:color w:val="auto"/>
        </w:rPr>
        <w:t>s</w:t>
      </w:r>
      <w:r>
        <w:rPr>
          <w:rFonts w:hint="eastAsia"/>
          <w:color w:val="auto"/>
        </w:rPr>
        <w:t xml:space="preserve"> or chipset vendors in terms of model structure preferences, data pre-processing requirements, hardware capabilities, power constraints, and quantization methodologies. Unless these UE-specific encoder design preferences are explicitly or implicitly communicated to the </w:t>
      </w:r>
      <w:r>
        <w:rPr>
          <w:rFonts w:hint="eastAsia" w:eastAsia="宋体"/>
          <w:color w:val="auto"/>
        </w:rPr>
        <w:t xml:space="preserve">NW </w:t>
      </w:r>
      <w:r>
        <w:rPr>
          <w:rFonts w:hint="eastAsia"/>
          <w:color w:val="auto"/>
        </w:rPr>
        <w:t>side, it becomes impractical for the network to train multiple encoders tailored to individual UEs due to potential risks of disclosing proprietary information. Conversely, if these UE-specific encoder</w:t>
      </w:r>
      <w:r>
        <w:rPr>
          <w:rFonts w:hint="eastAsia" w:eastAsia="宋体"/>
          <w:color w:val="auto"/>
        </w:rPr>
        <w:t xml:space="preserve"> </w:t>
      </w:r>
      <w:r>
        <w:rPr>
          <w:rFonts w:hint="eastAsia"/>
          <w:color w:val="auto"/>
        </w:rPr>
        <w:t xml:space="preserve">preferences are </w:t>
      </w:r>
      <w:r>
        <w:rPr>
          <w:rFonts w:hint="eastAsia" w:eastAsia="宋体"/>
          <w:color w:val="auto"/>
        </w:rPr>
        <w:t xml:space="preserve">able to </w:t>
      </w:r>
      <w:r>
        <w:rPr>
          <w:rFonts w:hint="eastAsia"/>
          <w:color w:val="auto"/>
        </w:rPr>
        <w:t>disclosed</w:t>
      </w:r>
      <w:r>
        <w:rPr>
          <w:rFonts w:hint="eastAsia" w:eastAsia="宋体"/>
          <w:color w:val="auto"/>
        </w:rPr>
        <w:t xml:space="preserve"> to the NW side</w:t>
      </w:r>
      <w:r>
        <w:rPr>
          <w:rFonts w:hint="eastAsia"/>
          <w:color w:val="auto"/>
        </w:rPr>
        <w:t xml:space="preserve">, significant standardization or offline </w:t>
      </w:r>
      <w:r>
        <w:rPr>
          <w:rFonts w:hint="eastAsia" w:eastAsia="宋体"/>
          <w:color w:val="auto"/>
        </w:rPr>
        <w:t>collaboration</w:t>
      </w:r>
      <w:r>
        <w:rPr>
          <w:rFonts w:hint="eastAsia"/>
          <w:color w:val="auto"/>
        </w:rPr>
        <w:t xml:space="preserve"> efforts will be required to align on the UE preferences. On the other hand, adopting a universal encoder design across various UEs can significantly reduce the model training and management efforts on the </w:t>
      </w:r>
      <w:r>
        <w:rPr>
          <w:rFonts w:hint="eastAsia" w:eastAsia="宋体"/>
          <w:color w:val="auto"/>
        </w:rPr>
        <w:t xml:space="preserve">NW </w:t>
      </w:r>
      <w:r>
        <w:rPr>
          <w:rFonts w:hint="eastAsia"/>
          <w:color w:val="auto"/>
        </w:rPr>
        <w:t xml:space="preserve">side, while keeping the model complexity manageable. However, this approach may result in </w:t>
      </w:r>
      <w:r>
        <w:rPr>
          <w:rFonts w:hint="eastAsia" w:eastAsia="宋体"/>
          <w:color w:val="auto"/>
        </w:rPr>
        <w:t xml:space="preserve">potential </w:t>
      </w:r>
      <w:r>
        <w:rPr>
          <w:rFonts w:hint="eastAsia"/>
          <w:color w:val="auto"/>
        </w:rPr>
        <w:t>performance degradation due to the lack of UE-specific optimization.</w:t>
      </w:r>
      <w:r>
        <w:rPr>
          <w:rFonts w:hint="eastAsia" w:eastAsia="宋体"/>
          <w:color w:val="auto"/>
        </w:rPr>
        <w:t xml:space="preserve"> Therefore, to answer this issue, further evaluation comparisons between </w:t>
      </w:r>
      <w:r>
        <w:rPr>
          <w:rFonts w:hint="eastAsia"/>
          <w:color w:val="auto"/>
        </w:rPr>
        <w:t xml:space="preserve">universal encoder </w:t>
      </w:r>
      <w:r>
        <w:rPr>
          <w:rFonts w:hint="eastAsia" w:eastAsia="宋体"/>
          <w:color w:val="auto"/>
        </w:rPr>
        <w:t>and UE-specific encoder design are necessary.</w:t>
      </w:r>
    </w:p>
    <w:p>
      <w:pPr>
        <w:pStyle w:val="147"/>
        <w:snapToGrid w:val="0"/>
        <w:spacing w:before="72" w:after="72"/>
        <w:jc w:val="both"/>
        <w:rPr>
          <w:b w:val="0"/>
          <w:color w:val="auto"/>
          <w:szCs w:val="20"/>
          <w:lang w:val="en-US"/>
        </w:rPr>
      </w:pPr>
      <w:bookmarkStart w:id="6" w:name="_Hlk178349543"/>
      <w:r>
        <w:rPr>
          <w:rFonts w:hint="eastAsia"/>
          <w:b w:val="0"/>
          <w:color w:val="auto"/>
          <w:szCs w:val="20"/>
          <w:lang w:val="en-US"/>
        </w:rPr>
        <w:t>For Direction B, it may be infeasible for the NW side to train multiple encoders tailored to different UEs due to the potential UE proprietary information disclosure risks and offline collaboration efforts.</w:t>
      </w:r>
    </w:p>
    <w:bookmarkEnd w:id="6"/>
    <w:p>
      <w:pPr>
        <w:pStyle w:val="147"/>
        <w:snapToGrid w:val="0"/>
        <w:spacing w:before="72" w:after="72"/>
        <w:jc w:val="both"/>
        <w:rPr>
          <w:b w:val="0"/>
          <w:color w:val="auto"/>
          <w:szCs w:val="20"/>
          <w:lang w:val="en-US"/>
        </w:rPr>
      </w:pPr>
      <w:r>
        <w:rPr>
          <w:rFonts w:hint="eastAsia"/>
          <w:b w:val="0"/>
          <w:color w:val="auto"/>
          <w:szCs w:val="20"/>
          <w:lang w:val="en-US"/>
        </w:rPr>
        <w:t xml:space="preserve">For Direction B, the implementation of universal encoder across various UEs may </w:t>
      </w:r>
      <w:r>
        <w:rPr>
          <w:rFonts w:hint="eastAsia"/>
          <w:b w:val="0"/>
          <w:color w:val="auto"/>
          <w:szCs w:val="20"/>
          <w:lang w:val="en-US" w:eastAsia="zh-CN"/>
        </w:rPr>
        <w:t xml:space="preserve">or may not </w:t>
      </w:r>
      <w:r>
        <w:rPr>
          <w:rFonts w:hint="eastAsia"/>
          <w:b w:val="0"/>
          <w:color w:val="auto"/>
          <w:szCs w:val="20"/>
          <w:lang w:val="en-US"/>
        </w:rPr>
        <w:t>sacrifice the overall performance due to the lack of UE-specific encoder design and optimization.</w:t>
      </w:r>
    </w:p>
    <w:p>
      <w:pPr>
        <w:rPr>
          <w:color w:val="auto"/>
          <w:sz w:val="22"/>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6] Performance impact due to data distribution mismatch between NW side and UE side inference</w:t>
      </w:r>
    </w:p>
    <w:p>
      <w:pPr>
        <w:adjustRightInd w:val="0"/>
        <w:snapToGrid w:val="0"/>
        <w:spacing w:before="72" w:beforeLines="30" w:after="72" w:afterLines="30" w:line="288" w:lineRule="auto"/>
        <w:jc w:val="both"/>
        <w:rPr>
          <w:color w:val="auto"/>
        </w:rPr>
      </w:pPr>
      <w:r>
        <w:rPr>
          <w:rFonts w:hint="eastAsia"/>
          <w:color w:val="auto"/>
        </w:rPr>
        <w:t xml:space="preserve">For option 3b, it is crucial to acknowledge the potential for a significant temporal gap between the model training phase at the NW-side and the model deployment phase at the UE-side. This disparity, coupled with the unpredictable mobility of UEs and the dynamic nature of the channel environment, can lead to a mismatch between the data distribution at the NW side during training and the UE side during inference. Given the generalization constraints of CSI compression models, such data distribution mismatches </w:t>
      </w:r>
      <w:r>
        <w:rPr>
          <w:rFonts w:hint="eastAsia" w:eastAsia="宋体"/>
          <w:color w:val="auto"/>
        </w:rPr>
        <w:t xml:space="preserve">may </w:t>
      </w:r>
      <w:r>
        <w:rPr>
          <w:rFonts w:hint="eastAsia"/>
          <w:color w:val="auto"/>
        </w:rPr>
        <w:t>precipitate substantial performance degradation. It is noteworthy that similar challenges are encountered in other agendas, such as AI beam management, where this is recognized as a consistency issue across training and inference phases. Drawing from the discussions in AI beam management, the following two strategies can be contemplated to address the data distribution mismatch.</w:t>
      </w:r>
    </w:p>
    <w:p>
      <w:pPr>
        <w:numPr>
          <w:ilvl w:val="0"/>
          <w:numId w:val="15"/>
        </w:numPr>
        <w:tabs>
          <w:tab w:val="clear" w:pos="-420"/>
        </w:tabs>
        <w:adjustRightInd w:val="0"/>
        <w:snapToGrid w:val="0"/>
        <w:spacing w:before="72" w:beforeLines="30" w:after="72" w:afterLines="30" w:line="288" w:lineRule="auto"/>
        <w:ind w:left="420"/>
        <w:jc w:val="both"/>
        <w:rPr>
          <w:color w:val="auto"/>
        </w:rPr>
      </w:pPr>
      <w:r>
        <w:rPr>
          <w:rFonts w:hint="eastAsia"/>
          <w:color w:val="auto"/>
        </w:rPr>
        <w:t>Data categorization using associated IDs. Assigning associated IDs that abstract the NW-side additional conditions (e.g., TxRU mappings, antenna height, antenna down tilt) and UE-side additional conditions (e.g., UE speeds, RF characteristics) can aid in data categorization. The repeated reception of the same associated ID signifies that the same set of additional conditions from the opposite node is being utilized. This exchange, predicated on associated IDs, ensures consistency in the NW-side additional conditions or UE-side additional conditions across training and inference, thereby significantly mitigating the mismatch between the NW-side data distribution and the UE-side inference data distribution.</w:t>
      </w:r>
    </w:p>
    <w:p>
      <w:pPr>
        <w:numPr>
          <w:ilvl w:val="0"/>
          <w:numId w:val="15"/>
        </w:numPr>
        <w:tabs>
          <w:tab w:val="clear" w:pos="-420"/>
        </w:tabs>
        <w:adjustRightInd w:val="0"/>
        <w:snapToGrid w:val="0"/>
        <w:spacing w:before="72" w:beforeLines="30" w:after="72" w:afterLines="30" w:line="288" w:lineRule="auto"/>
        <w:ind w:left="420"/>
        <w:jc w:val="both"/>
        <w:rPr>
          <w:color w:val="auto"/>
        </w:rPr>
      </w:pPr>
      <w:r>
        <w:rPr>
          <w:rFonts w:hint="eastAsia"/>
          <w:color w:val="auto"/>
        </w:rPr>
        <w:t>Continuous monitoring and performance feedback. Even with the alignment of additional conditions through associated IDs, data distribution mismatches may persist due to the dynamic and unpredictable variations in channel environments, such as blockages. In such scenarios, monitoring-based approaches become essential for addressing data distribution mismatches. Specifically, if continuous monitoring reveals that predefined performance thresholds are not being met, it can be inferred that a data distribution mismatch has occurred. Consequently, this would trigger model deactivation, switching, or retraining to align with the current operational context.</w:t>
      </w:r>
    </w:p>
    <w:p>
      <w:pPr>
        <w:pStyle w:val="147"/>
        <w:numPr>
          <w:ilvl w:val="0"/>
          <w:numId w:val="0"/>
        </w:numPr>
        <w:snapToGrid w:val="0"/>
        <w:spacing w:before="72" w:after="72"/>
        <w:jc w:val="both"/>
        <w:rPr>
          <w:b w:val="0"/>
          <w:color w:val="auto"/>
          <w:szCs w:val="20"/>
          <w:lang w:val="en-US"/>
        </w:rPr>
      </w:pPr>
      <w:bookmarkStart w:id="7" w:name="_Hlk178349559"/>
      <w:r>
        <w:rPr>
          <w:rFonts w:hint="eastAsia"/>
          <w:color w:val="auto"/>
          <w:szCs w:val="20"/>
          <w:lang w:val="en-US"/>
        </w:rPr>
        <w:t xml:space="preserve">Observation </w:t>
      </w:r>
      <w:r>
        <w:rPr>
          <w:rFonts w:hint="eastAsia"/>
          <w:color w:val="auto"/>
          <w:szCs w:val="20"/>
          <w:lang w:val="en-US" w:eastAsia="zh-CN"/>
        </w:rPr>
        <w:t>3</w:t>
      </w:r>
      <w:r>
        <w:rPr>
          <w:rFonts w:hint="eastAsia"/>
          <w:color w:val="auto"/>
          <w:szCs w:val="20"/>
          <w:lang w:val="en-US"/>
        </w:rPr>
        <w:t xml:space="preserve">: </w:t>
      </w:r>
      <w:r>
        <w:rPr>
          <w:rFonts w:hint="eastAsia"/>
          <w:b w:val="0"/>
          <w:color w:val="auto"/>
          <w:szCs w:val="20"/>
          <w:lang w:val="en-US"/>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snapToGrid w:val="0"/>
        <w:spacing w:before="72" w:after="72"/>
        <w:jc w:val="both"/>
        <w:rPr>
          <w:b w:val="0"/>
          <w:color w:val="auto"/>
          <w:szCs w:val="20"/>
          <w:lang w:val="en-US"/>
        </w:rPr>
      </w:pPr>
      <w:r>
        <w:rPr>
          <w:rFonts w:hint="eastAsia"/>
          <w:b w:val="0"/>
          <w:color w:val="auto"/>
          <w:szCs w:val="20"/>
          <w:lang w:val="en-US"/>
        </w:rPr>
        <w:t>For Direction B, data categorization using associated IDs and continuous monitoring can be considered for addressing the data distribution mismatch issues.</w:t>
      </w:r>
    </w:p>
    <w:bookmarkEnd w:id="7"/>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7] NW</w:t>
      </w:r>
      <w:r>
        <w:rPr>
          <w:color w:val="auto"/>
        </w:rPr>
        <w:t>’</w:t>
      </w:r>
      <w:r>
        <w:rPr>
          <w:rFonts w:hint="eastAsia"/>
          <w:color w:val="auto"/>
        </w:rPr>
        <w:t>s and UE</w:t>
      </w:r>
      <w:r>
        <w:rPr>
          <w:color w:val="auto"/>
        </w:rPr>
        <w:t>’</w:t>
      </w:r>
      <w:r>
        <w:rPr>
          <w:rFonts w:hint="eastAsia"/>
          <w:color w:val="auto"/>
        </w:rPr>
        <w:t>s proprietary information disclosure</w:t>
      </w:r>
    </w:p>
    <w:p>
      <w:pPr>
        <w:adjustRightInd w:val="0"/>
        <w:snapToGrid w:val="0"/>
        <w:spacing w:before="72" w:beforeLines="30" w:after="72" w:afterLines="30" w:line="288" w:lineRule="auto"/>
        <w:jc w:val="both"/>
        <w:rPr>
          <w:rFonts w:eastAsia="宋体"/>
          <w:color w:val="auto"/>
          <w:szCs w:val="20"/>
        </w:rPr>
      </w:pPr>
      <w:r>
        <w:rPr>
          <w:rFonts w:hint="eastAsia"/>
          <w:color w:val="auto"/>
        </w:rPr>
        <w:t>For option 3b, it has been agreed in RAN1#116b</w:t>
      </w:r>
      <w:r>
        <w:rPr>
          <w:color w:val="auto"/>
        </w:rPr>
        <w:t>is</w:t>
      </w:r>
      <w:r>
        <w:rPr>
          <w:rFonts w:hint="eastAsia"/>
          <w:color w:val="auto"/>
        </w:rPr>
        <w:t xml:space="preserve"> that the method of exchanging is over the air-interface via model transfer/delivery Case z4. </w:t>
      </w:r>
      <w:r>
        <w:rPr>
          <w:rFonts w:hint="eastAsia" w:eastAsia="宋体"/>
          <w:color w:val="auto"/>
          <w:szCs w:val="20"/>
        </w:rPr>
        <w:t xml:space="preserve">It is important to note that extensive discussions have already been conducted regarding </w:t>
      </w:r>
      <w:r>
        <w:rPr>
          <w:rFonts w:hint="eastAsia"/>
          <w:color w:val="auto"/>
        </w:rPr>
        <w:t xml:space="preserve">model transfer/delivery </w:t>
      </w:r>
      <w:r>
        <w:rPr>
          <w:rFonts w:hint="eastAsia" w:eastAsia="宋体"/>
          <w:color w:val="auto"/>
          <w:szCs w:val="20"/>
        </w:rPr>
        <w:t>Case z4 within the context of the Rel-18 AI PHY framework agenda</w:t>
      </w:r>
      <w:r>
        <w:rPr>
          <w:rFonts w:eastAsia="宋体"/>
          <w:color w:val="auto"/>
          <w:szCs w:val="20"/>
        </w:rPr>
        <w:t>, shown as Figure 12</w:t>
      </w:r>
      <w:r>
        <w:rPr>
          <w:rFonts w:hint="eastAsia" w:eastAsia="宋体"/>
          <w:color w:val="auto"/>
          <w:szCs w:val="20"/>
        </w:rPr>
        <w:t>. The discussions highlighted a significant challenge associated with model transfer/delivery Case z4: the preservation of proprietary design elements. The general consensus was that unless a model is widely recognized and devoid of device-specific design decisions - such as the number of layers, activation function, quantization, and other parameters that could be considered design secrets - there is a risk of proprietary information disclosure. This conclusion is directly applicable to option 3b, which may or may not carry risks of disclosing proprietary information between the NW and UE. From the NW</w:t>
      </w:r>
      <w:r>
        <w:rPr>
          <w:rFonts w:eastAsia="宋体"/>
          <w:color w:val="auto"/>
          <w:szCs w:val="20"/>
        </w:rPr>
        <w:t>’</w:t>
      </w:r>
      <w:r>
        <w:rPr>
          <w:rFonts w:hint="eastAsia" w:eastAsia="宋体"/>
          <w:color w:val="auto"/>
          <w:szCs w:val="20"/>
        </w:rPr>
        <w:t>s standpoint, the proprietary design of model parameters is revealed to the UE for inference purposes, which may potentially expose sensitive information. Conversely, from the UE</w:t>
      </w:r>
      <w:r>
        <w:rPr>
          <w:rFonts w:eastAsia="宋体"/>
          <w:color w:val="auto"/>
          <w:szCs w:val="20"/>
        </w:rPr>
        <w:t>’</w:t>
      </w:r>
      <w:r>
        <w:rPr>
          <w:rFonts w:hint="eastAsia" w:eastAsia="宋体"/>
          <w:color w:val="auto"/>
          <w:szCs w:val="20"/>
        </w:rPr>
        <w:t>s perspective, since the model is utilized directly for inference without the need for offline engineering, there is an expectation that device-specific design decisions</w:t>
      </w:r>
      <w:r>
        <w:rPr>
          <w:color w:val="auto"/>
          <w:szCs w:val="20"/>
          <w:lang w:val="en-GB"/>
        </w:rPr>
        <w:t xml:space="preserve"> (such as number of layers, activation </w:t>
      </w:r>
      <w:r>
        <w:rPr>
          <w:rFonts w:hint="eastAsia" w:eastAsia="宋体"/>
          <w:color w:val="auto"/>
          <w:szCs w:val="20"/>
        </w:rPr>
        <w:t>function</w:t>
      </w:r>
      <w:r>
        <w:rPr>
          <w:color w:val="auto"/>
          <w:szCs w:val="20"/>
          <w:lang w:val="en-GB"/>
        </w:rPr>
        <w:t>, quantization, etc.)</w:t>
      </w:r>
      <w:r>
        <w:rPr>
          <w:rFonts w:hint="eastAsia" w:eastAsia="宋体"/>
          <w:color w:val="auto"/>
          <w:szCs w:val="20"/>
        </w:rPr>
        <w:t xml:space="preserve"> may be shared to the NW beforehand. In some specific cases, this sharing is essential to enable potential UE-side activities such as compiling, computation acceleration, or optimization.</w:t>
      </w:r>
    </w:p>
    <w:p>
      <w:pPr>
        <w:adjustRightInd w:val="0"/>
        <w:snapToGrid w:val="0"/>
        <w:spacing w:before="72" w:beforeLines="30" w:after="72" w:afterLines="30" w:line="288" w:lineRule="auto"/>
        <w:jc w:val="center"/>
        <w:rPr>
          <w:rFonts w:eastAsiaTheme="minorEastAsia"/>
          <w:color w:val="auto"/>
        </w:rPr>
      </w:pPr>
      <w:r>
        <w:rPr>
          <w:rFonts w:eastAsia="宋体"/>
          <w:color w:val="auto"/>
          <w:szCs w:val="20"/>
        </w:rPr>
        <w:drawing>
          <wp:inline distT="0" distB="0" distL="114300" distR="114300">
            <wp:extent cx="2933700" cy="2176780"/>
            <wp:effectExtent l="0" t="0" r="0" b="7620"/>
            <wp:docPr id="11" name="图片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
                    <pic:cNvPicPr>
                      <a:picLocks noChangeAspect="1"/>
                    </pic:cNvPicPr>
                  </pic:nvPicPr>
                  <pic:blipFill>
                    <a:blip r:embed="rId6"/>
                    <a:stretch>
                      <a:fillRect/>
                    </a:stretch>
                  </pic:blipFill>
                  <pic:spPr>
                    <a:xfrm>
                      <a:off x="0" y="0"/>
                      <a:ext cx="2933700" cy="2176780"/>
                    </a:xfrm>
                    <a:prstGeom prst="rect">
                      <a:avLst/>
                    </a:prstGeom>
                  </pic:spPr>
                </pic:pic>
              </a:graphicData>
            </a:graphic>
          </wp:inline>
        </w:drawing>
      </w:r>
    </w:p>
    <w:p>
      <w:pPr>
        <w:adjustRightInd w:val="0"/>
        <w:snapToGrid w:val="0"/>
        <w:spacing w:before="72" w:beforeLines="30" w:after="72" w:afterLines="30" w:line="288" w:lineRule="auto"/>
        <w:jc w:val="center"/>
        <w:rPr>
          <w:rFonts w:eastAsiaTheme="minorEastAsia"/>
          <w:color w:val="auto"/>
        </w:rPr>
      </w:pPr>
      <w:r>
        <w:rPr>
          <w:rFonts w:hint="eastAsia" w:eastAsiaTheme="minorEastAsia"/>
          <w:color w:val="auto"/>
        </w:rPr>
        <w:t>F</w:t>
      </w:r>
      <w:r>
        <w:rPr>
          <w:rFonts w:eastAsiaTheme="minorEastAsia"/>
          <w:color w:val="auto"/>
        </w:rPr>
        <w:t>igure 12 Illustration for model transfer/delivery Case z4</w:t>
      </w:r>
    </w:p>
    <w:p>
      <w:pPr>
        <w:pStyle w:val="147"/>
        <w:snapToGrid w:val="0"/>
        <w:spacing w:before="72" w:after="72"/>
        <w:jc w:val="both"/>
        <w:rPr>
          <w:b w:val="0"/>
          <w:color w:val="auto"/>
          <w:szCs w:val="20"/>
          <w:lang w:val="en-US"/>
        </w:rPr>
      </w:pPr>
      <w:bookmarkStart w:id="8" w:name="_Hlk178349576"/>
      <w:r>
        <w:rPr>
          <w:rFonts w:hint="eastAsia"/>
          <w:b w:val="0"/>
          <w:color w:val="auto"/>
          <w:szCs w:val="20"/>
          <w:lang w:val="en-US"/>
        </w:rPr>
        <w:t>Direction B may not carry risks of disclosing proprietary information if the model parameters to be transferred are widely recognized and devoid of device-specific design decisions.</w:t>
      </w:r>
    </w:p>
    <w:bookmarkEnd w:id="8"/>
    <w:p>
      <w:pPr>
        <w:rPr>
          <w:color w:val="auto"/>
          <w:sz w:val="22"/>
        </w:rPr>
      </w:pPr>
    </w:p>
    <w:p>
      <w:pPr>
        <w:numPr>
          <w:ilvl w:val="2"/>
          <w:numId w:val="10"/>
        </w:numPr>
        <w:adjustRightInd w:val="0"/>
        <w:snapToGrid w:val="0"/>
        <w:spacing w:before="72" w:beforeLines="30" w:after="72" w:afterLines="30" w:line="288" w:lineRule="auto"/>
        <w:jc w:val="both"/>
        <w:outlineLvl w:val="2"/>
        <w:rPr>
          <w:rFonts w:eastAsia="宋体"/>
          <w:b/>
          <w:color w:val="auto"/>
          <w:sz w:val="22"/>
        </w:rPr>
      </w:pPr>
      <w:r>
        <w:rPr>
          <w:rFonts w:hint="eastAsia" w:eastAsia="宋体"/>
          <w:b/>
          <w:color w:val="auto"/>
          <w:sz w:val="22"/>
        </w:rPr>
        <w:t>Direction C with fully standardized reference model</w:t>
      </w:r>
    </w:p>
    <w:p>
      <w:pPr>
        <w:adjustRightInd w:val="0"/>
        <w:snapToGrid w:val="0"/>
        <w:spacing w:before="72" w:beforeLines="30" w:after="72" w:afterLines="30" w:line="288" w:lineRule="auto"/>
        <w:jc w:val="both"/>
        <w:rPr>
          <w:color w:val="auto"/>
        </w:rPr>
      </w:pPr>
      <w:r>
        <w:rPr>
          <w:rFonts w:hint="eastAsia"/>
          <w:color w:val="auto"/>
        </w:rPr>
        <w:t xml:space="preserve">Regarding </w:t>
      </w:r>
      <w:r>
        <w:rPr>
          <w:rFonts w:hint="eastAsia" w:eastAsia="宋体"/>
          <w:color w:val="auto"/>
        </w:rPr>
        <w:t>Direction C</w:t>
      </w:r>
      <w:r>
        <w:rPr>
          <w:rFonts w:hint="eastAsia"/>
          <w:color w:val="auto"/>
        </w:rPr>
        <w:t xml:space="preserve"> (i.e., inter vendor collaboration option 1), both the model structure and parameters of the CSI generation part and/or CSI reconstruction part are specified. Thus, the inter vendor collaboration complexity can be greatly alleviated by standardized signaling. However, </w:t>
      </w:r>
      <w:r>
        <w:rPr>
          <w:rFonts w:hint="eastAsia" w:eastAsia="宋体"/>
          <w:color w:val="auto"/>
        </w:rPr>
        <w:t>Direction C</w:t>
      </w:r>
      <w:r>
        <w:rPr>
          <w:rFonts w:hint="eastAsia"/>
          <w:color w:val="auto"/>
        </w:rPr>
        <w:t xml:space="preserve"> may come with high specification effort and limited performance in the field. Besides, the following feasibility issues were raised by companies in RAN1#118.</w:t>
      </w:r>
    </w:p>
    <w:p>
      <w:pPr>
        <w:numPr>
          <w:ilvl w:val="0"/>
          <w:numId w:val="13"/>
        </w:numPr>
        <w:adjustRightInd w:val="0"/>
        <w:snapToGrid w:val="0"/>
        <w:spacing w:before="72" w:beforeLines="30" w:after="72" w:afterLines="30" w:line="288" w:lineRule="auto"/>
        <w:jc w:val="both"/>
        <w:rPr>
          <w:color w:val="auto"/>
        </w:rPr>
      </w:pPr>
      <w:r>
        <w:rPr>
          <w:rFonts w:hint="eastAsia"/>
          <w:color w:val="auto"/>
        </w:rPr>
        <w:t>[Issue 8] Training data collection with synthetic or field data</w:t>
      </w:r>
    </w:p>
    <w:p>
      <w:pPr>
        <w:adjustRightInd w:val="0"/>
        <w:snapToGrid w:val="0"/>
        <w:spacing w:before="72" w:beforeLines="30" w:after="72" w:afterLines="30" w:line="288" w:lineRule="auto"/>
        <w:jc w:val="both"/>
        <w:rPr>
          <w:color w:val="auto"/>
        </w:rPr>
      </w:pPr>
      <w:r>
        <w:rPr>
          <w:color w:val="auto"/>
        </w:rPr>
        <w:t>The performance of option 1 heavily relies on the qua</w:t>
      </w:r>
      <w:r>
        <w:rPr>
          <w:rFonts w:hint="eastAsia"/>
          <w:color w:val="auto"/>
        </w:rPr>
        <w:t>l</w:t>
      </w:r>
      <w:r>
        <w:rPr>
          <w:color w:val="auto"/>
        </w:rPr>
        <w:t xml:space="preserve">ity of training data. Field data, while reflective of real-world scenarios, is often limited in availability and surrounded by privacy, security, and regulatory considerations. In contrast, synthetic data generated under 3GPP’s statistical channel model is a promising alternative that allows for data sharing and utilization in ways that real-world data cannot facilitate. Additionally, compared with field data, </w:t>
      </w:r>
      <w:r>
        <w:rPr>
          <w:rFonts w:hint="eastAsia"/>
          <w:color w:val="auto"/>
        </w:rPr>
        <w:t>synthetic</w:t>
      </w:r>
      <w:r>
        <w:rPr>
          <w:color w:val="auto"/>
        </w:rPr>
        <w:t xml:space="preserve"> data can be generated without any proprietary information disclosure issues and thus can be easily aligned </w:t>
      </w:r>
      <w:r>
        <w:rPr>
          <w:rFonts w:hint="eastAsia"/>
          <w:color w:val="auto"/>
        </w:rPr>
        <w:t>across</w:t>
      </w:r>
      <w:r>
        <w:rPr>
          <w:color w:val="auto"/>
        </w:rPr>
        <w:t xml:space="preserve"> companies on the generation methods.</w:t>
      </w:r>
      <w:r>
        <w:rPr>
          <w:rFonts w:hint="eastAsia"/>
          <w:color w:val="auto"/>
        </w:rPr>
        <w:t xml:space="preserve"> </w:t>
      </w:r>
      <w:r>
        <w:rPr>
          <w:color w:val="auto"/>
        </w:rPr>
        <w:t xml:space="preserve">It is noteworthy that </w:t>
      </w:r>
      <w:r>
        <w:rPr>
          <w:rFonts w:hint="eastAsia"/>
          <w:color w:val="auto"/>
        </w:rPr>
        <w:t>in R</w:t>
      </w:r>
      <w:r>
        <w:rPr>
          <w:color w:val="auto"/>
        </w:rPr>
        <w:t>AN4#112</w:t>
      </w:r>
      <w:r>
        <w:rPr>
          <w:rFonts w:hint="eastAsia"/>
          <w:color w:val="auto"/>
        </w:rPr>
        <w:t xml:space="preserve"> meeting, it has been agreed by RAN4 to use synthetic channels as the default assumption for conformance requirements/test, while field data can be considered for the analysis. Therefore, to save RAN1 efforts on the alignment of training dataset generation, the RAN4 agreement can be reused as much as possible, where synthetic data based on </w:t>
      </w:r>
      <w:r>
        <w:rPr>
          <w:color w:val="auto"/>
        </w:rPr>
        <w:t>3GPP’s statistical channel model</w:t>
      </w:r>
      <w:r>
        <w:rPr>
          <w:rFonts w:hint="eastAsia"/>
          <w:color w:val="auto"/>
        </w:rPr>
        <w:t xml:space="preserve"> is taken as a starting point for reference model training.</w:t>
      </w:r>
    </w:p>
    <w:p>
      <w:pPr>
        <w:pStyle w:val="147"/>
        <w:snapToGrid w:val="0"/>
        <w:spacing w:before="72" w:after="72"/>
        <w:jc w:val="both"/>
        <w:rPr>
          <w:b w:val="0"/>
          <w:color w:val="auto"/>
          <w:szCs w:val="20"/>
          <w:lang w:val="en-US"/>
        </w:rPr>
      </w:pPr>
      <w:bookmarkStart w:id="9" w:name="_Hlk178349589"/>
      <w:r>
        <w:rPr>
          <w:rFonts w:hint="eastAsia"/>
          <w:b w:val="0"/>
          <w:color w:val="auto"/>
          <w:szCs w:val="20"/>
          <w:lang w:val="en-US"/>
        </w:rPr>
        <w:t>For Direction C, synthetic data generated under 3GPP</w:t>
      </w:r>
      <w:r>
        <w:rPr>
          <w:b w:val="0"/>
          <w:color w:val="auto"/>
          <w:szCs w:val="20"/>
          <w:lang w:val="en-US"/>
        </w:rPr>
        <w:t>’</w:t>
      </w:r>
      <w:r>
        <w:rPr>
          <w:rFonts w:hint="eastAsia"/>
          <w:b w:val="0"/>
          <w:color w:val="auto"/>
          <w:szCs w:val="20"/>
          <w:lang w:val="en-US"/>
        </w:rPr>
        <w:t>s statistical channel model can be a starting point for reference model training.</w:t>
      </w:r>
    </w:p>
    <w:bookmarkEnd w:id="9"/>
    <w:p>
      <w:pPr>
        <w:rPr>
          <w:rFonts w:eastAsia="宋体"/>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9] Performance impact due to data distribution mismatch between training data, NW side, and UE side</w:t>
      </w:r>
    </w:p>
    <w:p>
      <w:pPr>
        <w:adjustRightInd w:val="0"/>
        <w:snapToGrid w:val="0"/>
        <w:spacing w:before="72" w:beforeLines="30" w:after="72" w:afterLines="30" w:line="288" w:lineRule="auto"/>
        <w:jc w:val="both"/>
        <w:rPr>
          <w:color w:val="auto"/>
        </w:rPr>
      </w:pPr>
      <w:r>
        <w:rPr>
          <w:color w:val="auto"/>
        </w:rPr>
        <w:t xml:space="preserve">The performance of </w:t>
      </w:r>
      <w:r>
        <w:rPr>
          <w:rFonts w:hint="eastAsia"/>
          <w:color w:val="auto"/>
        </w:rPr>
        <w:t>o</w:t>
      </w:r>
      <w:r>
        <w:rPr>
          <w:color w:val="auto"/>
        </w:rPr>
        <w:t>ption 1 is significantly influenced by the quality and representativeness of the training data used for developing reference models.</w:t>
      </w:r>
      <w:r>
        <w:rPr>
          <w:rFonts w:hint="eastAsia"/>
          <w:color w:val="auto"/>
        </w:rPr>
        <w:t xml:space="preserve"> As synthetic data based on </w:t>
      </w:r>
      <w:r>
        <w:rPr>
          <w:color w:val="auto"/>
        </w:rPr>
        <w:t>3GPP’s statistical channel model</w:t>
      </w:r>
      <w:r>
        <w:rPr>
          <w:rFonts w:hint="eastAsia"/>
          <w:color w:val="auto"/>
        </w:rPr>
        <w:t xml:space="preserve"> </w:t>
      </w:r>
      <w:r>
        <w:rPr>
          <w:rFonts w:hint="eastAsia" w:eastAsia="宋体"/>
          <w:color w:val="auto"/>
        </w:rPr>
        <w:t xml:space="preserve">may </w:t>
      </w:r>
      <w:r>
        <w:rPr>
          <w:rFonts w:hint="eastAsia"/>
          <w:color w:val="auto"/>
        </w:rPr>
        <w:t xml:space="preserve">not capture all characteristics of real world, mismatch between the distribution of the dataset used for reference model(s) training, UE-side data distribution, and NW-side data distribution </w:t>
      </w:r>
      <w:r>
        <w:rPr>
          <w:rFonts w:hint="eastAsia" w:eastAsia="宋体"/>
          <w:color w:val="auto"/>
        </w:rPr>
        <w:t xml:space="preserve">may </w:t>
      </w:r>
      <w:r>
        <w:rPr>
          <w:rFonts w:hint="eastAsia"/>
          <w:color w:val="auto"/>
        </w:rPr>
        <w:t xml:space="preserve">happen. </w:t>
      </w:r>
      <w:r>
        <w:rPr>
          <w:rFonts w:hint="eastAsia" w:eastAsia="宋体"/>
          <w:color w:val="auto"/>
        </w:rPr>
        <w:t>Anyway, whether there is any performanc</w:t>
      </w:r>
      <w:r>
        <w:rPr>
          <w:rFonts w:eastAsia="宋体"/>
          <w:color w:val="auto"/>
        </w:rPr>
        <w:t>e</w:t>
      </w:r>
      <w:r>
        <w:rPr>
          <w:rFonts w:hint="eastAsia" w:eastAsia="宋体"/>
          <w:color w:val="auto"/>
        </w:rPr>
        <w:t xml:space="preserve"> impact due to data distribution mismatch depends on the generalization capability of the standardized reference model and thus further evaluations are necessary before drawing any hasty conclusions. </w:t>
      </w:r>
      <w:r>
        <w:rPr>
          <w:rFonts w:hint="eastAsia"/>
          <w:color w:val="auto"/>
        </w:rPr>
        <w:t>To address the data distribution mismatch issues</w:t>
      </w:r>
      <w:r>
        <w:rPr>
          <w:rFonts w:hint="eastAsia" w:eastAsia="宋体"/>
          <w:color w:val="auto"/>
        </w:rPr>
        <w:t xml:space="preserve"> (if needed)</w:t>
      </w:r>
      <w:r>
        <w:rPr>
          <w:rFonts w:hint="eastAsia"/>
          <w:color w:val="auto"/>
        </w:rPr>
        <w:t xml:space="preserve">, model retraining based on data collected in real time can be performed to </w:t>
      </w:r>
      <w:r>
        <w:rPr>
          <w:color w:val="auto"/>
        </w:rPr>
        <w:t>bridge the gap between synthetic and real-world data</w:t>
      </w:r>
      <w:r>
        <w:rPr>
          <w:rFonts w:hint="eastAsia"/>
          <w:color w:val="auto"/>
        </w:rPr>
        <w:t xml:space="preserve">. For example, as generally there is not a big difference between the synthetic data used for reference model training and the field data, most of the standardized layers or parameters can be maintained/frozen, while only few of the trainable layers are keeping updated to adapt to realistic configurations/settings/scenarios. Alternatively, model fine-tuning can be conducted to address the data distribution mismatch issues, which consists of unfreezing the entire model (or part of it) and re-training it on the new data with a very low learning rate. Both methods </w:t>
      </w:r>
      <w:r>
        <w:rPr>
          <w:color w:val="auto"/>
        </w:rPr>
        <w:t>are capable of delivering substantial improvements by incrementally adapting the pre-trained model features to align with new data distributions.</w:t>
      </w:r>
    </w:p>
    <w:p>
      <w:pPr>
        <w:widowControl w:val="0"/>
        <w:snapToGrid w:val="0"/>
        <w:spacing w:before="72" w:beforeLines="30" w:after="72" w:afterLines="30" w:line="288" w:lineRule="auto"/>
        <w:jc w:val="both"/>
        <w:rPr>
          <w:rFonts w:eastAsiaTheme="minorEastAsia"/>
          <w:b/>
          <w:i/>
          <w:color w:val="auto"/>
        </w:rPr>
      </w:pPr>
      <w:bookmarkStart w:id="10" w:name="_Hlk178349608"/>
      <w:r>
        <w:rPr>
          <w:rFonts w:hint="eastAsia" w:eastAsiaTheme="minorEastAsia"/>
          <w:b/>
          <w:i/>
          <w:color w:val="auto"/>
        </w:rPr>
        <w:t>Observation</w:t>
      </w:r>
      <w:r>
        <w:rPr>
          <w:rFonts w:eastAsiaTheme="minorEastAsia"/>
          <w:b/>
          <w:i/>
          <w:color w:val="auto"/>
        </w:rPr>
        <w:t xml:space="preserve"> </w:t>
      </w:r>
      <w:r>
        <w:rPr>
          <w:rFonts w:hint="eastAsia" w:eastAsiaTheme="minorEastAsia"/>
          <w:b/>
          <w:i/>
          <w:color w:val="auto"/>
          <w:lang w:val="en-US" w:eastAsia="zh-CN"/>
        </w:rPr>
        <w:t>4</w:t>
      </w:r>
      <w:r>
        <w:rPr>
          <w:rFonts w:eastAsiaTheme="minorEastAsia"/>
          <w:b/>
          <w:i/>
          <w:color w:val="auto"/>
        </w:rPr>
        <w:t>:</w:t>
      </w:r>
      <w:r>
        <w:rPr>
          <w:rFonts w:hint="eastAsia" w:eastAsiaTheme="minorEastAsia"/>
          <w:b/>
          <w:i/>
          <w:color w:val="auto"/>
        </w:rPr>
        <w:t xml:space="preserve"> </w:t>
      </w:r>
      <w:r>
        <w:rPr>
          <w:rFonts w:hint="eastAsia" w:eastAsiaTheme="minorEastAsia"/>
          <w:i/>
          <w:color w:val="auto"/>
        </w:rPr>
        <w:t>For Direction C, as synthetic data may not capture all characteristics of real world, mismatch between the distribution of the dataset used for reference model(s) training, UE-side data distribution, and NW-side data distribution happens.</w:t>
      </w:r>
      <w:r>
        <w:rPr>
          <w:rFonts w:eastAsiaTheme="minorEastAsia"/>
          <w:i/>
          <w:color w:val="auto"/>
        </w:rPr>
        <w:t xml:space="preserve"> </w:t>
      </w:r>
    </w:p>
    <w:p>
      <w:pPr>
        <w:pStyle w:val="147"/>
        <w:snapToGrid w:val="0"/>
        <w:spacing w:before="72" w:after="72"/>
        <w:jc w:val="both"/>
        <w:rPr>
          <w:b w:val="0"/>
          <w:color w:val="auto"/>
          <w:szCs w:val="20"/>
          <w:lang w:val="en-US"/>
        </w:rPr>
      </w:pPr>
      <w:r>
        <w:rPr>
          <w:rFonts w:hint="eastAsia"/>
          <w:b w:val="0"/>
          <w:color w:val="auto"/>
          <w:szCs w:val="20"/>
          <w:lang w:val="en-US"/>
        </w:rPr>
        <w:t>For Direction C, whether there is any performance impact arising from the data distribution mismatch depends on the generalization capability of the standardized reference model and thus further evaluations are needed.</w:t>
      </w:r>
    </w:p>
    <w:p>
      <w:pPr>
        <w:pStyle w:val="147"/>
        <w:snapToGrid w:val="0"/>
        <w:spacing w:before="72" w:after="72"/>
        <w:jc w:val="both"/>
        <w:rPr>
          <w:color w:val="auto"/>
        </w:rPr>
      </w:pPr>
      <w:r>
        <w:rPr>
          <w:rFonts w:hint="eastAsia"/>
          <w:b w:val="0"/>
          <w:color w:val="auto"/>
          <w:szCs w:val="20"/>
          <w:lang w:val="en-US"/>
        </w:rPr>
        <w:t>For Direction C, model retraining based on data collected in real world can be performed to bridge the gap between synthetic data and field data.</w:t>
      </w:r>
      <w:bookmarkEnd w:id="10"/>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It</w:t>
      </w:r>
      <w:r>
        <w:rPr>
          <w:rFonts w:eastAsia="宋体"/>
          <w:iCs/>
          <w:color w:val="auto"/>
        </w:rPr>
        <w:t>’</w:t>
      </w:r>
      <w:r>
        <w:rPr>
          <w:rFonts w:hint="eastAsia" w:eastAsia="宋体"/>
          <w:iCs/>
          <w:color w:val="auto"/>
        </w:rPr>
        <w:t>s worth noting that the above Issues 8 and 9 are also applicable to directions A and B. As discussed before, in Direction C, synthetic data or field data are to be used for the training and generation of standardized reference model. In case that there is a significant gap between synthetic data and field data, data distribution mismatch happens, which may potentially lead to unpredictable performance degradation in the fie</w:t>
      </w:r>
      <w:r>
        <w:rPr>
          <w:rFonts w:eastAsia="宋体"/>
          <w:iCs/>
          <w:color w:val="auto"/>
        </w:rPr>
        <w:t>l</w:t>
      </w:r>
      <w:r>
        <w:rPr>
          <w:rFonts w:hint="eastAsia" w:eastAsia="宋体"/>
          <w:iCs/>
          <w:color w:val="auto"/>
        </w:rPr>
        <w:t>d. Similarly, for directions A and B, the dataset generation methods (i.e., sy</w:t>
      </w:r>
      <w:r>
        <w:rPr>
          <w:rFonts w:eastAsia="宋体"/>
          <w:iCs/>
          <w:color w:val="auto"/>
        </w:rPr>
        <w:t>n</w:t>
      </w:r>
      <w:r>
        <w:rPr>
          <w:rFonts w:hint="eastAsia" w:eastAsia="宋体"/>
          <w:iCs/>
          <w:color w:val="auto"/>
        </w:rPr>
        <w:t>thetic data based on 3GPP</w:t>
      </w:r>
      <w:r>
        <w:rPr>
          <w:rFonts w:eastAsia="宋体"/>
          <w:iCs/>
          <w:color w:val="auto"/>
        </w:rPr>
        <w:t>’</w:t>
      </w:r>
      <w:r>
        <w:rPr>
          <w:rFonts w:hint="eastAsia" w:eastAsia="宋体"/>
          <w:iCs/>
          <w:color w:val="auto"/>
        </w:rPr>
        <w:t>s statistical channel or field data in the real world) should also be discussed and aligned for the generation of standardized reference model structure. Even though the model parameters can be generated in a more adaptive way using field data, performance degradation may still happen if the standardized reference model structure trained by synthetic data cannot match the real</w:t>
      </w:r>
      <w:r>
        <w:rPr>
          <w:rFonts w:eastAsia="宋体"/>
          <w:iCs/>
          <w:color w:val="auto"/>
        </w:rPr>
        <w:t>-</w:t>
      </w:r>
      <w:r>
        <w:rPr>
          <w:rFonts w:hint="eastAsia" w:eastAsia="宋体"/>
          <w:iCs/>
          <w:color w:val="auto"/>
        </w:rPr>
        <w:t>world environment.</w:t>
      </w:r>
    </w:p>
    <w:p>
      <w:pPr>
        <w:pStyle w:val="147"/>
        <w:snapToGrid w:val="0"/>
        <w:spacing w:before="72" w:after="72"/>
        <w:jc w:val="both"/>
        <w:rPr>
          <w:b w:val="0"/>
          <w:color w:val="auto"/>
          <w:szCs w:val="20"/>
          <w:lang w:val="en-US"/>
        </w:rPr>
      </w:pPr>
      <w:bookmarkStart w:id="11" w:name="_Hlk178349621"/>
      <w:r>
        <w:rPr>
          <w:rFonts w:hint="eastAsia"/>
          <w:b w:val="0"/>
          <w:color w:val="auto"/>
          <w:szCs w:val="20"/>
          <w:lang w:val="en-US"/>
        </w:rPr>
        <w:t>Issues 8 and 9 are also applicable to Directions A and B due to the standardization requirement of reference model structure.</w:t>
      </w:r>
      <w:bookmarkEnd w:id="11"/>
    </w:p>
    <w:p>
      <w:pPr>
        <w:widowControl w:val="0"/>
        <w:snapToGrid w:val="0"/>
        <w:spacing w:before="72" w:beforeLines="30" w:after="72" w:afterLines="30" w:line="288" w:lineRule="auto"/>
        <w:jc w:val="both"/>
        <w:rPr>
          <w:rFonts w:eastAsiaTheme="minorEastAsia"/>
          <w:i/>
          <w:color w:val="auto"/>
        </w:rPr>
      </w:pPr>
    </w:p>
    <w:p>
      <w:pPr>
        <w:numPr>
          <w:ilvl w:val="1"/>
          <w:numId w:val="10"/>
        </w:numPr>
        <w:adjustRightInd w:val="0"/>
        <w:snapToGrid w:val="0"/>
        <w:spacing w:before="72" w:beforeLines="30" w:after="72" w:afterLines="30" w:line="288" w:lineRule="auto"/>
        <w:jc w:val="both"/>
        <w:outlineLvl w:val="1"/>
        <w:rPr>
          <w:b/>
          <w:color w:val="auto"/>
          <w:sz w:val="22"/>
        </w:rPr>
      </w:pPr>
      <w:r>
        <w:rPr>
          <w:rFonts w:hint="eastAsia" w:eastAsia="宋体"/>
          <w:b/>
          <w:color w:val="auto"/>
          <w:sz w:val="22"/>
        </w:rPr>
        <w:t>Evaluation on data distribution mismatch</w:t>
      </w: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 xml:space="preserve">Evaluation results </w:t>
      </w:r>
      <w:r>
        <w:rPr>
          <w:rFonts w:hint="eastAsia" w:eastAsia="宋体"/>
          <w:b/>
          <w:color w:val="auto"/>
          <w:sz w:val="21"/>
          <w:szCs w:val="21"/>
          <w:lang w:val="en-US" w:eastAsia="zh-CN"/>
        </w:rPr>
        <w:t xml:space="preserve">for </w:t>
      </w:r>
      <w:r>
        <w:rPr>
          <w:rFonts w:hint="eastAsia" w:eastAsia="宋体"/>
          <w:b/>
          <w:color w:val="auto"/>
          <w:sz w:val="21"/>
          <w:szCs w:val="21"/>
        </w:rPr>
        <w:t>Direction A and B</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The following evaluation assumptions were agreed in RAN1#118b to emulate the performance degradation due to UE-side / NW-side data distribution mismatch with respect to UE side additional condition.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ind w:left="1440" w:hanging="1440"/>
              <w:rPr>
                <w:rFonts w:eastAsia="等线"/>
                <w:b/>
                <w:bCs/>
                <w:color w:val="auto"/>
                <w:szCs w:val="20"/>
                <w:u w:val="single"/>
                <w:lang w:val="en-GB"/>
              </w:rPr>
            </w:pPr>
            <w:r>
              <w:rPr>
                <w:rFonts w:eastAsia="等线"/>
                <w:b/>
                <w:bCs/>
                <w:color w:val="auto"/>
                <w:szCs w:val="20"/>
                <w:u w:val="single"/>
                <w:lang w:val="en-GB"/>
              </w:rPr>
              <w:t>Agreement</w:t>
            </w:r>
          </w:p>
          <w:p>
            <w:pPr>
              <w:snapToGrid w:val="0"/>
              <w:spacing w:before="72" w:beforeLines="30" w:after="72" w:afterLines="30" w:line="288" w:lineRule="auto"/>
              <w:rPr>
                <w:bCs/>
                <w:iCs/>
                <w:color w:val="auto"/>
                <w:szCs w:val="20"/>
              </w:rPr>
            </w:pPr>
            <w:r>
              <w:rPr>
                <w:color w:val="auto"/>
                <w:szCs w:val="20"/>
              </w:rPr>
              <w:t xml:space="preserve">For the evaluation studies of </w:t>
            </w:r>
            <w:r>
              <w:rPr>
                <w:rFonts w:hint="eastAsia" w:eastAsia="宋体"/>
                <w:color w:val="auto"/>
                <w:szCs w:val="20"/>
              </w:rPr>
              <w:t>Direction A</w:t>
            </w:r>
            <w:r>
              <w:rPr>
                <w:color w:val="auto"/>
                <w:szCs w:val="20"/>
              </w:rPr>
              <w:t>,</w:t>
            </w:r>
          </w:p>
          <w:p>
            <w:pPr>
              <w:numPr>
                <w:ilvl w:val="0"/>
                <w:numId w:val="16"/>
              </w:numPr>
              <w:suppressAutoHyphens/>
              <w:snapToGrid w:val="0"/>
              <w:spacing w:before="72" w:beforeLines="30" w:after="72" w:afterLines="30" w:line="288" w:lineRule="auto"/>
              <w:rPr>
                <w:bCs/>
                <w:iCs/>
                <w:color w:val="auto"/>
                <w:szCs w:val="20"/>
              </w:rPr>
            </w:pPr>
            <w:r>
              <w:rPr>
                <w:color w:val="auto"/>
                <w:szCs w:val="20"/>
              </w:rPr>
              <w:t>For encoder parameter exchange from NW-side to UE-side</w:t>
            </w:r>
            <w:r>
              <w:rPr>
                <w:rFonts w:eastAsia="等线"/>
                <w:color w:val="auto"/>
                <w:szCs w:val="20"/>
              </w:rPr>
              <w:t xml:space="preserve"> of 3a-1</w:t>
            </w:r>
            <w:r>
              <w:rPr>
                <w:color w:val="auto"/>
                <w:szCs w:val="20"/>
              </w:rPr>
              <w:t xml:space="preserve">, </w:t>
            </w:r>
          </w:p>
          <w:p>
            <w:pPr>
              <w:numPr>
                <w:ilvl w:val="1"/>
                <w:numId w:val="16"/>
              </w:numPr>
              <w:suppressAutoHyphens/>
              <w:snapToGrid w:val="0"/>
              <w:spacing w:before="72" w:beforeLines="30" w:after="72" w:afterLines="30" w:line="288" w:lineRule="auto"/>
              <w:rPr>
                <w:bCs/>
                <w:iCs/>
                <w:color w:val="auto"/>
                <w:szCs w:val="20"/>
              </w:rPr>
            </w:pPr>
            <w:r>
              <w:rPr>
                <w:color w:val="auto"/>
                <w:szCs w:val="20"/>
              </w:rPr>
              <w:t>Alt. 1: UE-side first trains a nominal decoder</w:t>
            </w:r>
          </w:p>
          <w:p>
            <w:pPr>
              <w:numPr>
                <w:ilvl w:val="2"/>
                <w:numId w:val="16"/>
              </w:numPr>
              <w:suppressAutoHyphens/>
              <w:snapToGrid w:val="0"/>
              <w:spacing w:before="72" w:beforeLines="30" w:after="72" w:afterLines="30" w:line="288" w:lineRule="auto"/>
              <w:rPr>
                <w:bCs/>
                <w:iCs/>
                <w:color w:val="auto"/>
                <w:szCs w:val="20"/>
              </w:rPr>
            </w:pPr>
            <w:r>
              <w:rPr>
                <w:color w:val="auto"/>
                <w:szCs w:val="20"/>
              </w:rPr>
              <w:t xml:space="preserve">Step 1: UE-side develops a nominal decoder against the exchanged encoder. </w:t>
            </w:r>
          </w:p>
          <w:p>
            <w:pPr>
              <w:numPr>
                <w:ilvl w:val="2"/>
                <w:numId w:val="16"/>
              </w:numPr>
              <w:suppressAutoHyphens/>
              <w:snapToGrid w:val="0"/>
              <w:spacing w:before="72" w:beforeLines="30" w:after="72" w:afterLines="30" w:line="288" w:lineRule="auto"/>
              <w:rPr>
                <w:bCs/>
                <w:iCs/>
                <w:color w:val="auto"/>
                <w:szCs w:val="20"/>
              </w:rPr>
            </w:pPr>
            <w:r>
              <w:rPr>
                <w:color w:val="auto"/>
                <w:szCs w:val="20"/>
              </w:rPr>
              <w:t xml:space="preserve">Step 2: UE-side develops actual encoder against the nominal decoder </w:t>
            </w:r>
          </w:p>
          <w:p>
            <w:pPr>
              <w:numPr>
                <w:ilvl w:val="1"/>
                <w:numId w:val="16"/>
              </w:numPr>
              <w:suppressAutoHyphens/>
              <w:snapToGrid w:val="0"/>
              <w:spacing w:before="72" w:beforeLines="30" w:after="72" w:afterLines="30" w:line="288" w:lineRule="auto"/>
              <w:rPr>
                <w:bCs/>
                <w:iCs/>
                <w:color w:val="auto"/>
                <w:szCs w:val="20"/>
              </w:rPr>
            </w:pPr>
            <w:r>
              <w:rPr>
                <w:color w:val="auto"/>
                <w:szCs w:val="20"/>
              </w:rPr>
              <w:t>Alt. 2: UE-side directly develops and trains the actual encoder.</w:t>
            </w:r>
          </w:p>
          <w:p>
            <w:pPr>
              <w:numPr>
                <w:ilvl w:val="1"/>
                <w:numId w:val="16"/>
              </w:numPr>
              <w:suppressAutoHyphens/>
              <w:snapToGrid w:val="0"/>
              <w:spacing w:before="72" w:beforeLines="30" w:after="72" w:afterLines="30" w:line="288" w:lineRule="auto"/>
              <w:rPr>
                <w:bCs/>
                <w:iCs/>
                <w:color w:val="auto"/>
                <w:szCs w:val="20"/>
              </w:rPr>
            </w:pPr>
            <w:r>
              <w:rPr>
                <w:rFonts w:eastAsia="等线"/>
                <w:color w:val="auto"/>
                <w:szCs w:val="20"/>
              </w:rPr>
              <w:t>Note: Target CSI is available at UE side</w:t>
            </w:r>
          </w:p>
          <w:p>
            <w:pPr>
              <w:numPr>
                <w:ilvl w:val="0"/>
                <w:numId w:val="17"/>
              </w:numPr>
              <w:suppressAutoHyphens/>
              <w:snapToGrid w:val="0"/>
              <w:spacing w:before="72" w:beforeLines="30" w:after="72" w:afterLines="30" w:line="288" w:lineRule="auto"/>
              <w:rPr>
                <w:bCs/>
                <w:iCs/>
                <w:color w:val="auto"/>
                <w:szCs w:val="20"/>
              </w:rPr>
            </w:pPr>
            <w:r>
              <w:rPr>
                <w:color w:val="auto"/>
                <w:szCs w:val="20"/>
              </w:rPr>
              <w:t>For dataset exchange from NW-side to UE-side {target CSI, CSI feedback} of 4-1</w:t>
            </w:r>
            <w:r>
              <w:rPr>
                <w:rFonts w:eastAsia="等线"/>
                <w:color w:val="auto"/>
                <w:szCs w:val="20"/>
              </w:rPr>
              <w:t>,</w:t>
            </w:r>
          </w:p>
          <w:p>
            <w:pPr>
              <w:numPr>
                <w:ilvl w:val="1"/>
                <w:numId w:val="17"/>
              </w:numPr>
              <w:suppressAutoHyphens/>
              <w:snapToGrid w:val="0"/>
              <w:spacing w:before="72" w:beforeLines="30" w:after="72" w:afterLines="30" w:line="288" w:lineRule="auto"/>
              <w:rPr>
                <w:bCs/>
                <w:iCs/>
                <w:color w:val="auto"/>
                <w:szCs w:val="20"/>
              </w:rPr>
            </w:pPr>
            <w:r>
              <w:rPr>
                <w:color w:val="auto"/>
                <w:szCs w:val="20"/>
              </w:rPr>
              <w:t>Alt. 1: UE-side first trains a nominal decoder</w:t>
            </w:r>
          </w:p>
          <w:p>
            <w:pPr>
              <w:numPr>
                <w:ilvl w:val="2"/>
                <w:numId w:val="17"/>
              </w:numPr>
              <w:suppressAutoHyphens/>
              <w:snapToGrid w:val="0"/>
              <w:spacing w:before="72" w:beforeLines="30" w:after="72" w:afterLines="30" w:line="288" w:lineRule="auto"/>
              <w:rPr>
                <w:bCs/>
                <w:iCs/>
                <w:color w:val="auto"/>
                <w:szCs w:val="20"/>
              </w:rPr>
            </w:pPr>
            <w:r>
              <w:rPr>
                <w:color w:val="auto"/>
                <w:szCs w:val="20"/>
              </w:rPr>
              <w:t>Step 1: UE-side develops a nominal decoder using the exchanged dataset.</w:t>
            </w:r>
          </w:p>
          <w:p>
            <w:pPr>
              <w:numPr>
                <w:ilvl w:val="2"/>
                <w:numId w:val="17"/>
              </w:numPr>
              <w:suppressAutoHyphens/>
              <w:snapToGrid w:val="0"/>
              <w:spacing w:before="72" w:beforeLines="30" w:after="72" w:afterLines="30" w:line="288" w:lineRule="auto"/>
              <w:rPr>
                <w:bCs/>
                <w:iCs/>
                <w:color w:val="auto"/>
                <w:szCs w:val="20"/>
              </w:rPr>
            </w:pPr>
            <w:r>
              <w:rPr>
                <w:color w:val="auto"/>
                <w:szCs w:val="20"/>
              </w:rPr>
              <w:t>Step 2: UE-side develops an actual encoder against the nominal decoder.</w:t>
            </w:r>
          </w:p>
          <w:p>
            <w:pPr>
              <w:numPr>
                <w:ilvl w:val="1"/>
                <w:numId w:val="17"/>
              </w:numPr>
              <w:suppressAutoHyphens/>
              <w:snapToGrid w:val="0"/>
              <w:spacing w:before="72" w:beforeLines="30" w:after="72" w:afterLines="30" w:line="288" w:lineRule="auto"/>
              <w:rPr>
                <w:bCs/>
                <w:iCs/>
                <w:color w:val="auto"/>
                <w:szCs w:val="20"/>
              </w:rPr>
            </w:pPr>
            <w:r>
              <w:rPr>
                <w:color w:val="auto"/>
                <w:szCs w:val="20"/>
              </w:rPr>
              <w:t>Alt. 2: UE-side directly develops and trains the actual encoder.</w:t>
            </w:r>
          </w:p>
          <w:p>
            <w:pPr>
              <w:snapToGrid w:val="0"/>
              <w:spacing w:before="72" w:beforeLines="30" w:after="72" w:afterLines="30" w:line="288" w:lineRule="auto"/>
              <w:rPr>
                <w:color w:val="auto"/>
                <w:szCs w:val="20"/>
              </w:rPr>
            </w:pPr>
          </w:p>
          <w:p>
            <w:pPr>
              <w:snapToGrid w:val="0"/>
              <w:spacing w:before="72" w:beforeLines="30" w:after="72" w:afterLines="30" w:line="288" w:lineRule="auto"/>
              <w:ind w:left="1440" w:hanging="1440"/>
              <w:rPr>
                <w:rFonts w:eastAsia="等线"/>
                <w:b/>
                <w:bCs/>
                <w:color w:val="auto"/>
                <w:szCs w:val="20"/>
                <w:u w:val="single"/>
                <w:lang w:val="en-GB"/>
              </w:rPr>
            </w:pPr>
            <w:r>
              <w:rPr>
                <w:rFonts w:eastAsia="等线"/>
                <w:b/>
                <w:bCs/>
                <w:color w:val="auto"/>
                <w:szCs w:val="20"/>
                <w:u w:val="single"/>
                <w:lang w:val="en-GB"/>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bCs/>
                <w:iCs/>
                <w:color w:val="auto"/>
                <w:szCs w:val="20"/>
                <w:lang w:eastAsia="en-US"/>
              </w:rPr>
            </w:pPr>
            <w:r>
              <w:rPr>
                <w:rFonts w:eastAsia="宋体"/>
                <w:color w:val="auto"/>
                <w:szCs w:val="20"/>
                <w:lang w:eastAsia="en-US"/>
              </w:rPr>
              <w:t xml:space="preserve">For discussion on performance degradation due to UE-side / NW-side data distribution mismatch </w:t>
            </w:r>
            <w:r>
              <w:rPr>
                <w:rFonts w:eastAsia="等线"/>
                <w:color w:val="auto"/>
                <w:szCs w:val="20"/>
              </w:rPr>
              <w:t xml:space="preserve">with respect to UE side additional condition </w:t>
            </w:r>
            <w:r>
              <w:rPr>
                <w:rFonts w:eastAsia="宋体"/>
                <w:color w:val="auto"/>
                <w:szCs w:val="20"/>
                <w:lang w:eastAsia="en-US"/>
              </w:rPr>
              <w:t>(issue 4</w:t>
            </w:r>
            <w:r>
              <w:rPr>
                <w:rFonts w:eastAsia="等线"/>
                <w:color w:val="auto"/>
                <w:szCs w:val="20"/>
              </w:rPr>
              <w:t xml:space="preserve"> </w:t>
            </w:r>
            <w:r>
              <w:rPr>
                <w:rFonts w:eastAsia="宋体"/>
                <w:color w:val="auto"/>
                <w:szCs w:val="20"/>
                <w:lang w:eastAsia="en-US"/>
              </w:rPr>
              <w:t xml:space="preserve">and </w:t>
            </w:r>
            <w:r>
              <w:rPr>
                <w:rFonts w:eastAsia="等线"/>
                <w:color w:val="auto"/>
                <w:szCs w:val="20"/>
              </w:rPr>
              <w:t>6</w:t>
            </w:r>
            <w:r>
              <w:rPr>
                <w:rFonts w:eastAsia="宋体"/>
                <w:color w:val="auto"/>
                <w:szCs w:val="20"/>
                <w:lang w:eastAsia="en-US"/>
              </w:rPr>
              <w:t>), consider</w:t>
            </w:r>
          </w:p>
          <w:p>
            <w:pPr>
              <w:numPr>
                <w:ilvl w:val="0"/>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NW-side data (dataset A) and UE-side data (dataset B) are mismatched in terms of UE-side additional condition (e.g., SVD phase normalization method, UE antenna virtualization, antenna imbalance, antenna spacing / layout, etc)</w:t>
            </w:r>
          </w:p>
          <w:p>
            <w:pPr>
              <w:numPr>
                <w:ilvl w:val="1"/>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 xml:space="preserve">Note: dataset A </w:t>
            </w:r>
            <w:r>
              <w:rPr>
                <w:rFonts w:eastAsia="等线"/>
                <w:color w:val="auto"/>
                <w:szCs w:val="20"/>
                <w:lang w:val="en-GB"/>
              </w:rPr>
              <w:t>may or may not contain dataset B</w:t>
            </w:r>
          </w:p>
          <w:p>
            <w:pPr>
              <w:numPr>
                <w:ilvl w:val="1"/>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Note: if dataset A includes dataset B, this means NW timely collect data from the UE</w:t>
            </w:r>
          </w:p>
          <w:p>
            <w:pPr>
              <w:numPr>
                <w:ilvl w:val="1"/>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Note: Dataset A and dataset B are aligned in terms of NW-side additional conditions.</w:t>
            </w:r>
          </w:p>
          <w:p>
            <w:pPr>
              <w:numPr>
                <w:ilvl w:val="0"/>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Case 1: An encoder-decoder pair is trained on dataset B. This serves as an upper-bound.</w:t>
            </w:r>
          </w:p>
          <w:p>
            <w:pPr>
              <w:numPr>
                <w:ilvl w:val="0"/>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 xml:space="preserve">Case 2 (for </w:t>
            </w:r>
            <w:r>
              <w:rPr>
                <w:rFonts w:hint="eastAsia" w:eastAsia="宋体"/>
                <w:color w:val="auto"/>
                <w:szCs w:val="20"/>
                <w:lang w:val="en-GB"/>
              </w:rPr>
              <w:t>Direction A</w:t>
            </w:r>
            <w:r>
              <w:rPr>
                <w:rFonts w:eastAsia="Calibri"/>
                <w:color w:val="auto"/>
                <w:szCs w:val="20"/>
                <w:lang w:val="en-GB" w:eastAsia="en-US"/>
              </w:rPr>
              <w:t xml:space="preserve">): </w:t>
            </w:r>
          </w:p>
          <w:p>
            <w:pPr>
              <w:numPr>
                <w:ilvl w:val="1"/>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 xml:space="preserve">For </w:t>
            </w:r>
            <w:r>
              <w:rPr>
                <w:rFonts w:hint="eastAsia" w:eastAsia="宋体"/>
                <w:color w:val="auto"/>
                <w:szCs w:val="20"/>
                <w:lang w:val="en-GB"/>
              </w:rPr>
              <w:t>Direction A</w:t>
            </w:r>
            <w:r>
              <w:rPr>
                <w:rFonts w:eastAsia="Calibri"/>
                <w:color w:val="auto"/>
                <w:szCs w:val="20"/>
                <w:lang w:val="en-GB" w:eastAsia="en-US"/>
              </w:rPr>
              <w:t>: NW-side trains a decoder on dataset A, and UE-side trains an encoder based on either dataset A, dataset B, or both (where the choice depends on the inter-vendor collaboration Options (4-1 or 3a-1)</w:t>
            </w:r>
            <w:r>
              <w:rPr>
                <w:rFonts w:eastAsia="等线"/>
                <w:color w:val="auto"/>
                <w:szCs w:val="20"/>
                <w:lang w:val="en-GB"/>
              </w:rPr>
              <w:t>,</w:t>
            </w:r>
            <w:r>
              <w:rPr>
                <w:rFonts w:eastAsia="Calibri"/>
                <w:color w:val="auto"/>
                <w:szCs w:val="20"/>
                <w:lang w:val="en-GB" w:eastAsia="en-US"/>
              </w:rPr>
              <w:t xml:space="preserve"> the training alternatives (Alt 1 or Alt 2) within the Options, and the choice of target CSI for training)</w:t>
            </w:r>
          </w:p>
          <w:p>
            <w:pPr>
              <w:numPr>
                <w:ilvl w:val="0"/>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 xml:space="preserve">Case 3 (for </w:t>
            </w:r>
            <w:r>
              <w:rPr>
                <w:rFonts w:hint="eastAsia" w:eastAsia="宋体"/>
                <w:color w:val="auto"/>
                <w:szCs w:val="20"/>
                <w:lang w:val="en-GB"/>
              </w:rPr>
              <w:t>Direction B</w:t>
            </w:r>
            <w:r>
              <w:rPr>
                <w:rFonts w:eastAsia="Calibri"/>
                <w:color w:val="auto"/>
                <w:szCs w:val="20"/>
                <w:lang w:val="en-GB" w:eastAsia="en-US"/>
              </w:rPr>
              <w:t>): NW-side train an encoder-decoder on dataset A and transfers the encoder parameters to UE</w:t>
            </w:r>
            <w:r>
              <w:rPr>
                <w:rFonts w:eastAsia="等线"/>
                <w:color w:val="auto"/>
                <w:szCs w:val="20"/>
                <w:lang w:val="en-GB"/>
              </w:rPr>
              <w:t>.</w:t>
            </w:r>
          </w:p>
          <w:p>
            <w:pPr>
              <w:numPr>
                <w:ilvl w:val="0"/>
                <w:numId w:val="18"/>
              </w:numPr>
              <w:suppressAutoHyphens/>
              <w:snapToGrid w:val="0"/>
              <w:spacing w:before="72" w:beforeLines="30" w:after="72" w:afterLines="30" w:line="288" w:lineRule="auto"/>
              <w:jc w:val="both"/>
              <w:rPr>
                <w:rFonts w:eastAsia="Calibri"/>
                <w:bCs/>
                <w:iCs/>
                <w:color w:val="auto"/>
                <w:szCs w:val="20"/>
                <w:lang w:val="en-GB" w:eastAsia="en-US"/>
              </w:rPr>
            </w:pPr>
            <w:r>
              <w:rPr>
                <w:rFonts w:eastAsia="Calibri"/>
                <w:color w:val="auto"/>
                <w:szCs w:val="20"/>
                <w:lang w:val="en-GB" w:eastAsia="en-US"/>
              </w:rPr>
              <w:t>Study issue 4</w:t>
            </w:r>
            <w:r>
              <w:rPr>
                <w:rFonts w:eastAsia="等线"/>
                <w:color w:val="auto"/>
                <w:szCs w:val="20"/>
                <w:lang w:val="en-GB"/>
              </w:rPr>
              <w:t xml:space="preserve"> and 6</w:t>
            </w:r>
            <w:r>
              <w:rPr>
                <w:rFonts w:eastAsia="Calibri"/>
                <w:color w:val="auto"/>
                <w:szCs w:val="20"/>
                <w:lang w:val="en-GB" w:eastAsia="en-US"/>
              </w:rPr>
              <w:t xml:space="preserve"> by evaluating the inference performance for Case 2 / 3 on </w:t>
            </w:r>
            <w:r>
              <w:rPr>
                <w:rFonts w:eastAsia="等线"/>
                <w:color w:val="auto"/>
                <w:szCs w:val="20"/>
                <w:lang w:val="en-GB"/>
              </w:rPr>
              <w:t xml:space="preserve">test </w:t>
            </w:r>
            <w:r>
              <w:rPr>
                <w:rFonts w:eastAsia="Calibri"/>
                <w:color w:val="auto"/>
                <w:szCs w:val="20"/>
                <w:lang w:val="en-GB" w:eastAsia="en-US"/>
              </w:rPr>
              <w:t xml:space="preserve">dataset B, comparing to the inference performance for case 1 on </w:t>
            </w:r>
            <w:r>
              <w:rPr>
                <w:rFonts w:eastAsia="等线"/>
                <w:color w:val="auto"/>
                <w:szCs w:val="20"/>
                <w:lang w:val="en-GB"/>
              </w:rPr>
              <w:t xml:space="preserve">test </w:t>
            </w:r>
            <w:r>
              <w:rPr>
                <w:rFonts w:eastAsia="Calibri"/>
                <w:color w:val="auto"/>
                <w:szCs w:val="20"/>
                <w:lang w:val="en-GB" w:eastAsia="en-US"/>
              </w:rPr>
              <w:t>dataset B.</w:t>
            </w:r>
          </w:p>
          <w:p>
            <w:pPr>
              <w:numPr>
                <w:ilvl w:val="0"/>
                <w:numId w:val="18"/>
              </w:numPr>
              <w:snapToGrid w:val="0"/>
              <w:spacing w:before="72" w:beforeLines="30" w:after="72" w:afterLines="30" w:line="288" w:lineRule="auto"/>
              <w:jc w:val="both"/>
              <w:rPr>
                <w:color w:val="auto"/>
                <w:szCs w:val="20"/>
              </w:rPr>
            </w:pPr>
            <w:r>
              <w:rPr>
                <w:rFonts w:eastAsia="Calibri"/>
                <w:bCs/>
                <w:iCs/>
                <w:color w:val="auto"/>
                <w:szCs w:val="20"/>
                <w:lang w:val="en-GB" w:eastAsia="en-US"/>
              </w:rPr>
              <w:t>Note: Evaluations are assumed to performed without common reference model structure among companies.</w:t>
            </w:r>
          </w:p>
        </w:tc>
      </w:tr>
    </w:tbl>
    <w:p>
      <w:pPr>
        <w:widowControl w:val="0"/>
        <w:numPr>
          <w:ilvl w:val="0"/>
          <w:numId w:val="19"/>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To evaluate the UE-side / NW-side data distribution mismatch issue, a specific UE-side additional condition is considered in our simulations, i.e., SVD phase normalization method (whether or not normalize the phase of eigen-vector onto the first complex element). Specifically, the NW-side data (i.e., Dataset A) is generated under UMa scenarios without phase normalization, while the UE-side data (i.e., Dataset B) is generated under UMa scenarios with phase normalization. Apparently, the NW-side data and UE-side data are mismatched in terms of UE-side additional condition, i.e., SVD phase normalization method.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2594"/>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NW-side additional condition</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UE-side additional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Dataset B</w:t>
            </w:r>
          </w:p>
        </w:tc>
        <w:tc>
          <w:tcPr>
            <w:tcW w:w="0" w:type="auto"/>
            <w:vAlign w:val="center"/>
          </w:tcPr>
          <w:p>
            <w:pPr>
              <w:snapToGrid w:val="0"/>
              <w:spacing w:before="72" w:beforeLines="30" w:after="72" w:afterLines="30" w:line="288" w:lineRule="auto"/>
              <w:jc w:val="center"/>
              <w:rPr>
                <w:rFonts w:eastAsia="宋体"/>
                <w:color w:val="auto"/>
                <w:szCs w:val="21"/>
              </w:rPr>
            </w:pPr>
            <w:r>
              <w:rPr>
                <w:color w:val="auto"/>
                <w:szCs w:val="21"/>
              </w:rPr>
              <w:t xml:space="preserve">UMa </w:t>
            </w:r>
            <w:r>
              <w:rPr>
                <w:rFonts w:hint="eastAsia"/>
                <w:color w:val="auto"/>
                <w:szCs w:val="21"/>
              </w:rPr>
              <w:t>scenarios</w:t>
            </w:r>
          </w:p>
        </w:tc>
        <w:tc>
          <w:tcPr>
            <w:tcW w:w="0" w:type="auto"/>
            <w:vAlign w:val="center"/>
          </w:tcPr>
          <w:p>
            <w:pPr>
              <w:snapToGrid w:val="0"/>
              <w:spacing w:before="72" w:beforeLines="30" w:after="72" w:afterLines="30" w:line="288" w:lineRule="auto"/>
              <w:jc w:val="center"/>
              <w:rPr>
                <w:color w:val="auto"/>
                <w:szCs w:val="21"/>
              </w:rPr>
            </w:pPr>
            <w:r>
              <w:rPr>
                <w:rFonts w:hint="eastAsia"/>
                <w:color w:val="auto"/>
                <w:szCs w:val="21"/>
              </w:rPr>
              <w:t xml:space="preserve">with </w:t>
            </w:r>
            <w:r>
              <w:rPr>
                <w:color w:val="auto"/>
                <w:szCs w:val="21"/>
              </w:rPr>
              <w:t>phase normalization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Dataset A</w:t>
            </w:r>
          </w:p>
        </w:tc>
        <w:tc>
          <w:tcPr>
            <w:tcW w:w="0" w:type="auto"/>
            <w:vAlign w:val="center"/>
          </w:tcPr>
          <w:p>
            <w:pPr>
              <w:snapToGrid w:val="0"/>
              <w:spacing w:before="72" w:beforeLines="30" w:after="72" w:afterLines="30" w:line="288" w:lineRule="auto"/>
              <w:jc w:val="center"/>
              <w:rPr>
                <w:rFonts w:eastAsia="宋体"/>
                <w:color w:val="auto"/>
                <w:szCs w:val="21"/>
              </w:rPr>
            </w:pPr>
            <w:r>
              <w:rPr>
                <w:color w:val="auto"/>
                <w:szCs w:val="21"/>
              </w:rPr>
              <w:t xml:space="preserve">UMa </w:t>
            </w:r>
            <w:r>
              <w:rPr>
                <w:rFonts w:hint="eastAsia"/>
                <w:color w:val="auto"/>
                <w:szCs w:val="21"/>
              </w:rPr>
              <w:t>scenarios</w:t>
            </w:r>
          </w:p>
        </w:tc>
        <w:tc>
          <w:tcPr>
            <w:tcW w:w="0" w:type="auto"/>
            <w:vAlign w:val="center"/>
          </w:tcPr>
          <w:p>
            <w:pPr>
              <w:snapToGrid w:val="0"/>
              <w:spacing w:before="72" w:beforeLines="30" w:after="72" w:afterLines="30" w:line="288" w:lineRule="auto"/>
              <w:jc w:val="center"/>
              <w:rPr>
                <w:color w:val="auto"/>
                <w:szCs w:val="21"/>
              </w:rPr>
            </w:pPr>
            <w:r>
              <w:rPr>
                <w:rFonts w:hint="eastAsia"/>
                <w:color w:val="auto"/>
                <w:szCs w:val="21"/>
              </w:rPr>
              <w:t xml:space="preserve">without </w:t>
            </w:r>
            <w:r>
              <w:rPr>
                <w:color w:val="auto"/>
                <w:szCs w:val="21"/>
              </w:rPr>
              <w:t>phase normalization</w:t>
            </w:r>
          </w:p>
        </w:tc>
      </w:tr>
    </w:tbl>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For simplicity, we mainly investigate SF compression in our simulation and reuse all typical configurations in Rel-18 including a feedback payload of PC8 (644 bits for two layers). Besides, to evaluate the data distribution mismatch issue and verify the necessity of target CSI exchange from NW side to UE side, we consider the following 4 cases for the evaluation comparisons. </w:t>
      </w:r>
    </w:p>
    <w:p>
      <w:pPr>
        <w:pStyle w:val="113"/>
        <w:numPr>
          <w:ilvl w:val="0"/>
          <w:numId w:val="20"/>
        </w:numPr>
        <w:snapToGrid w:val="0"/>
        <w:spacing w:before="72" w:beforeLines="30" w:after="72" w:afterLines="30" w:line="288" w:lineRule="auto"/>
        <w:ind w:firstLineChars="0"/>
        <w:jc w:val="both"/>
        <w:rPr>
          <w:rFonts w:eastAsia="宋体"/>
          <w:color w:val="auto"/>
          <w:szCs w:val="21"/>
        </w:rPr>
      </w:pPr>
      <w:r>
        <w:rPr>
          <w:rFonts w:hint="eastAsia" w:eastAsia="宋体"/>
          <w:color w:val="auto"/>
          <w:szCs w:val="21"/>
        </w:rPr>
        <w:t>Case 1: An encoder-decoder pair trained on Dataset B performs inference on Dataset B</w:t>
      </w:r>
    </w:p>
    <w:p>
      <w:pPr>
        <w:pStyle w:val="113"/>
        <w:numPr>
          <w:ilvl w:val="0"/>
          <w:numId w:val="20"/>
        </w:numPr>
        <w:snapToGrid w:val="0"/>
        <w:spacing w:before="72" w:beforeLines="30" w:after="72" w:afterLines="30" w:line="288" w:lineRule="auto"/>
        <w:ind w:firstLineChars="0"/>
        <w:jc w:val="both"/>
        <w:rPr>
          <w:rFonts w:eastAsia="宋体"/>
          <w:color w:val="auto"/>
          <w:szCs w:val="21"/>
        </w:rPr>
      </w:pPr>
      <w:r>
        <w:rPr>
          <w:rFonts w:hint="eastAsia" w:eastAsia="宋体"/>
          <w:color w:val="auto"/>
          <w:szCs w:val="21"/>
        </w:rPr>
        <w:t>Case 1A: An encoder-decoder pair trained on mixed dataset (including Dataset A and Dataset B with a mixing ratio of 0.5 : 0.5) performs inference on Dataset B.</w:t>
      </w:r>
    </w:p>
    <w:p>
      <w:pPr>
        <w:pStyle w:val="113"/>
        <w:numPr>
          <w:ilvl w:val="0"/>
          <w:numId w:val="20"/>
        </w:numPr>
        <w:snapToGrid w:val="0"/>
        <w:spacing w:before="72" w:beforeLines="30" w:after="72" w:afterLines="30" w:line="288" w:lineRule="auto"/>
        <w:ind w:firstLineChars="0"/>
        <w:jc w:val="both"/>
        <w:rPr>
          <w:rFonts w:eastAsia="宋体"/>
          <w:color w:val="auto"/>
          <w:szCs w:val="21"/>
        </w:rPr>
      </w:pPr>
      <w:r>
        <w:rPr>
          <w:rFonts w:hint="eastAsia" w:eastAsia="宋体"/>
          <w:color w:val="auto"/>
          <w:szCs w:val="21"/>
        </w:rPr>
        <w:t>Case 2: NW-side trains a decoder on Dataset A, and UE-side trains an encoder based on either Dataset A, Dataset B, or both. The inference performance is evaluated on Dataset B.</w:t>
      </w:r>
    </w:p>
    <w:p>
      <w:pPr>
        <w:pStyle w:val="113"/>
        <w:numPr>
          <w:ilvl w:val="0"/>
          <w:numId w:val="21"/>
        </w:numPr>
        <w:snapToGrid w:val="0"/>
        <w:spacing w:before="72" w:beforeLines="30" w:after="72" w:afterLines="30" w:line="288" w:lineRule="auto"/>
        <w:ind w:left="840" w:firstLineChars="0"/>
        <w:jc w:val="both"/>
        <w:rPr>
          <w:rFonts w:eastAsia="宋体"/>
          <w:color w:val="auto"/>
          <w:szCs w:val="21"/>
        </w:rPr>
      </w:pPr>
      <w:r>
        <w:rPr>
          <w:rFonts w:hint="eastAsia" w:eastAsia="宋体"/>
          <w:color w:val="auto"/>
          <w:szCs w:val="21"/>
        </w:rPr>
        <w:t>Case 2-1: UE-side first develops a nominal decoder against the exchanged encoder based on Dataset B, and then trains the actual encoder against the nominal decoder based on Dataset B as well.</w:t>
      </w:r>
    </w:p>
    <w:p>
      <w:pPr>
        <w:pStyle w:val="113"/>
        <w:numPr>
          <w:ilvl w:val="0"/>
          <w:numId w:val="21"/>
        </w:numPr>
        <w:snapToGrid w:val="0"/>
        <w:spacing w:before="72" w:beforeLines="30" w:after="72" w:afterLines="30" w:line="288" w:lineRule="auto"/>
        <w:ind w:left="840" w:firstLineChars="0"/>
        <w:jc w:val="both"/>
        <w:rPr>
          <w:rFonts w:eastAsia="宋体"/>
          <w:color w:val="auto"/>
          <w:szCs w:val="21"/>
        </w:rPr>
      </w:pPr>
      <w:r>
        <w:rPr>
          <w:rFonts w:hint="eastAsia" w:eastAsia="宋体"/>
          <w:color w:val="auto"/>
          <w:szCs w:val="21"/>
        </w:rPr>
        <w:t>Case 2-2: UE-side first develops a nominal decoder against the exchanged encoder based on the Dataset A, and then trains the actual encoder against the nominal decoder based on Dataset B.</w:t>
      </w:r>
    </w:p>
    <w:p>
      <w:pPr>
        <w:widowControl w:val="0"/>
        <w:numPr>
          <w:ilvl w:val="0"/>
          <w:numId w:val="19"/>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Preliminary simulation results for sub-option 3a-1 and option 3b with standardized reference encoder structure are shown in the following table. Compared with Case 1, performance degradation of -2.5% for layer 1 SGCS and -3.9% for layer 2 SGCS are observed for Case 2-1 due to the impact of UE-side / NW-side data distribution mismatch with respect to UE-side additional condition. Besides, this performance degradation cannot be resolved by the exchange of target CSI from NW side to UE side according to the simulation results of Case 2-1 and Case 2-2. However, if the NW side is able to train the encoder-decoder pair by dataset mixed from Dataset A and Dataset B (e.g., by timely data collection), the performance loss can be greatly relieved as shown by simulation Case 1A.</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Cs w:val="20"/>
              </w:rPr>
            </w:pPr>
            <w:r>
              <w:rPr>
                <w:color w:val="auto"/>
                <w:szCs w:val="20"/>
              </w:rPr>
              <w:t>Simulation cases</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 xml:space="preserve">SGCS </w:t>
            </w:r>
            <w:r>
              <w:rPr>
                <w:rFonts w:hint="eastAsia" w:eastAsia="等线"/>
                <w:color w:val="auto"/>
                <w:szCs w:val="20"/>
              </w:rPr>
              <w:t>g</w:t>
            </w:r>
            <w:r>
              <w:rPr>
                <w:rFonts w:eastAsia="等线"/>
                <w:color w:val="auto"/>
                <w:szCs w:val="20"/>
              </w:rPr>
              <w:t>ain</w:t>
            </w:r>
            <w:r>
              <w:rPr>
                <w:rFonts w:hint="eastAsia" w:eastAsia="等线"/>
                <w:color w:val="auto"/>
                <w:szCs w:val="20"/>
              </w:rPr>
              <w:t xml:space="preserve"> for layer 1</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 xml:space="preserve">SGCS </w:t>
            </w:r>
            <w:r>
              <w:rPr>
                <w:rFonts w:hint="eastAsia" w:eastAsia="等线"/>
                <w:color w:val="auto"/>
                <w:szCs w:val="20"/>
              </w:rPr>
              <w:t>g</w:t>
            </w:r>
            <w:r>
              <w:rPr>
                <w:rFonts w:eastAsia="等线"/>
                <w:color w:val="auto"/>
                <w:szCs w:val="20"/>
              </w:rPr>
              <w:t>ain</w:t>
            </w:r>
            <w:r>
              <w:rPr>
                <w:rFonts w:hint="eastAsia" w:eastAsia="等线"/>
                <w:color w:val="auto"/>
                <w:szCs w:val="20"/>
              </w:rPr>
              <w:t xml:space="preserve"> for layer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Cs w:val="20"/>
              </w:rPr>
            </w:pPr>
            <w:r>
              <w:rPr>
                <w:color w:val="auto"/>
                <w:szCs w:val="20"/>
              </w:rPr>
              <w:t>Case 1</w:t>
            </w:r>
          </w:p>
        </w:tc>
        <w:tc>
          <w:tcPr>
            <w:tcW w:w="0" w:type="auto"/>
            <w:vAlign w:val="center"/>
          </w:tcPr>
          <w:p>
            <w:pPr>
              <w:snapToGrid w:val="0"/>
              <w:spacing w:before="72" w:beforeLines="30" w:after="72" w:afterLines="30" w:line="288" w:lineRule="auto"/>
              <w:jc w:val="center"/>
              <w:rPr>
                <w:color w:val="auto"/>
                <w:szCs w:val="20"/>
              </w:rPr>
            </w:pPr>
            <w:r>
              <w:rPr>
                <w:color w:val="auto"/>
                <w:szCs w:val="20"/>
              </w:rPr>
              <w:t>0%</w:t>
            </w:r>
          </w:p>
        </w:tc>
        <w:tc>
          <w:tcPr>
            <w:tcW w:w="0" w:type="auto"/>
            <w:vAlign w:val="center"/>
          </w:tcPr>
          <w:p>
            <w:pPr>
              <w:snapToGrid w:val="0"/>
              <w:spacing w:before="72" w:beforeLines="30" w:after="72" w:afterLines="30" w:line="288" w:lineRule="auto"/>
              <w:jc w:val="center"/>
              <w:rPr>
                <w:color w:val="auto"/>
                <w:szCs w:val="20"/>
              </w:rPr>
            </w:pPr>
            <w:r>
              <w:rPr>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宋体"/>
                <w:color w:val="auto"/>
                <w:szCs w:val="20"/>
              </w:rPr>
            </w:pPr>
            <w:r>
              <w:rPr>
                <w:color w:val="auto"/>
                <w:szCs w:val="20"/>
              </w:rPr>
              <w:t xml:space="preserve">Case </w:t>
            </w:r>
            <w:r>
              <w:rPr>
                <w:rFonts w:hint="eastAsia" w:eastAsia="宋体"/>
                <w:color w:val="auto"/>
                <w:szCs w:val="20"/>
              </w:rPr>
              <w:t>1A</w:t>
            </w:r>
          </w:p>
        </w:tc>
        <w:tc>
          <w:tcPr>
            <w:tcW w:w="0" w:type="auto"/>
            <w:vAlign w:val="center"/>
          </w:tcPr>
          <w:p>
            <w:pPr>
              <w:snapToGrid w:val="0"/>
              <w:spacing w:before="72" w:beforeLines="30" w:after="72" w:afterLines="30" w:line="288" w:lineRule="auto"/>
              <w:jc w:val="center"/>
              <w:rPr>
                <w:color w:val="auto"/>
                <w:szCs w:val="20"/>
              </w:rPr>
            </w:pPr>
            <w:r>
              <w:rPr>
                <w:rFonts w:hint="eastAsia"/>
                <w:color w:val="auto"/>
                <w:szCs w:val="20"/>
              </w:rPr>
              <w:t>-</w:t>
            </w:r>
            <w:r>
              <w:rPr>
                <w:color w:val="auto"/>
                <w:szCs w:val="20"/>
              </w:rPr>
              <w:t>0.6</w:t>
            </w:r>
            <w:r>
              <w:rPr>
                <w:rFonts w:hint="eastAsia"/>
                <w:color w:val="auto"/>
                <w:szCs w:val="20"/>
              </w:rPr>
              <w:t>%</w:t>
            </w:r>
          </w:p>
        </w:tc>
        <w:tc>
          <w:tcPr>
            <w:tcW w:w="0" w:type="auto"/>
            <w:vAlign w:val="center"/>
          </w:tcPr>
          <w:p>
            <w:pPr>
              <w:snapToGrid w:val="0"/>
              <w:spacing w:before="72" w:beforeLines="30" w:after="72" w:afterLines="30" w:line="288" w:lineRule="auto"/>
              <w:jc w:val="center"/>
              <w:rPr>
                <w:color w:val="auto"/>
                <w:szCs w:val="20"/>
              </w:rPr>
            </w:pPr>
            <w:r>
              <w:rPr>
                <w:rFonts w:hint="eastAsia"/>
                <w:color w:val="auto"/>
                <w:szCs w:val="20"/>
              </w:rPr>
              <w:t>-</w:t>
            </w:r>
            <w:r>
              <w:rPr>
                <w:color w:val="auto"/>
                <w:szCs w:val="20"/>
              </w:rPr>
              <w:t>0.</w:t>
            </w:r>
            <w:r>
              <w:rPr>
                <w:rFonts w:hint="eastAsia" w:eastAsia="宋体"/>
                <w:color w:val="auto"/>
                <w:szCs w:val="20"/>
              </w:rPr>
              <w:t>9</w:t>
            </w:r>
            <w:r>
              <w:rPr>
                <w:rFonts w:hint="eastAsia"/>
                <w:color w:val="auto"/>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Cs w:val="20"/>
              </w:rPr>
            </w:pPr>
            <w:r>
              <w:rPr>
                <w:rFonts w:hint="eastAsia" w:eastAsia="宋体"/>
                <w:color w:val="auto"/>
                <w:szCs w:val="20"/>
              </w:rPr>
              <w:t>Case 2-1</w:t>
            </w:r>
          </w:p>
        </w:tc>
        <w:tc>
          <w:tcPr>
            <w:tcW w:w="0" w:type="auto"/>
            <w:vAlign w:val="center"/>
          </w:tcPr>
          <w:p>
            <w:pPr>
              <w:snapToGrid w:val="0"/>
              <w:spacing w:before="72" w:beforeLines="30" w:after="72" w:afterLines="30" w:line="288" w:lineRule="auto"/>
              <w:jc w:val="center"/>
              <w:rPr>
                <w:color w:val="auto"/>
                <w:szCs w:val="20"/>
              </w:rPr>
            </w:pPr>
            <w:r>
              <w:rPr>
                <w:rFonts w:hint="eastAsia"/>
                <w:color w:val="auto"/>
                <w:szCs w:val="20"/>
              </w:rPr>
              <w:t>-2.5%</w:t>
            </w:r>
          </w:p>
        </w:tc>
        <w:tc>
          <w:tcPr>
            <w:tcW w:w="0" w:type="auto"/>
            <w:vAlign w:val="center"/>
          </w:tcPr>
          <w:p>
            <w:pPr>
              <w:snapToGrid w:val="0"/>
              <w:spacing w:before="72" w:beforeLines="30" w:after="72" w:afterLines="30" w:line="288" w:lineRule="auto"/>
              <w:jc w:val="center"/>
              <w:rPr>
                <w:color w:val="auto"/>
                <w:szCs w:val="20"/>
              </w:rPr>
            </w:pPr>
            <w:r>
              <w:rPr>
                <w:rFonts w:hint="eastAsia"/>
                <w:color w:val="auto"/>
                <w:szCs w:val="20"/>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宋体"/>
                <w:color w:val="auto"/>
                <w:szCs w:val="20"/>
              </w:rPr>
            </w:pPr>
            <w:r>
              <w:rPr>
                <w:rFonts w:hint="eastAsia" w:eastAsia="宋体"/>
                <w:color w:val="auto"/>
                <w:szCs w:val="20"/>
              </w:rPr>
              <w:t>Case 2-2</w:t>
            </w:r>
          </w:p>
        </w:tc>
        <w:tc>
          <w:tcPr>
            <w:tcW w:w="0" w:type="auto"/>
            <w:vAlign w:val="center"/>
          </w:tcPr>
          <w:p>
            <w:pPr>
              <w:snapToGrid w:val="0"/>
              <w:spacing w:before="72" w:beforeLines="30" w:after="72" w:afterLines="30" w:line="288" w:lineRule="auto"/>
              <w:jc w:val="center"/>
              <w:rPr>
                <w:color w:val="auto"/>
                <w:szCs w:val="20"/>
              </w:rPr>
            </w:pPr>
            <w:r>
              <w:rPr>
                <w:rFonts w:hint="eastAsia"/>
                <w:color w:val="auto"/>
                <w:szCs w:val="20"/>
              </w:rPr>
              <w:t>-2.5%</w:t>
            </w:r>
          </w:p>
        </w:tc>
        <w:tc>
          <w:tcPr>
            <w:tcW w:w="0" w:type="auto"/>
            <w:vAlign w:val="center"/>
          </w:tcPr>
          <w:p>
            <w:pPr>
              <w:snapToGrid w:val="0"/>
              <w:spacing w:before="72" w:beforeLines="30" w:after="72" w:afterLines="30" w:line="288" w:lineRule="auto"/>
              <w:jc w:val="center"/>
              <w:rPr>
                <w:color w:val="auto"/>
                <w:szCs w:val="20"/>
              </w:rPr>
            </w:pPr>
            <w:r>
              <w:rPr>
                <w:rFonts w:hint="eastAsia"/>
                <w:color w:val="auto"/>
                <w:szCs w:val="20"/>
              </w:rPr>
              <w:t>-3.</w:t>
            </w:r>
            <w:r>
              <w:rPr>
                <w:color w:val="auto"/>
                <w:szCs w:val="20"/>
              </w:rPr>
              <w:t>8</w:t>
            </w:r>
            <w:r>
              <w:rPr>
                <w:rFonts w:hint="eastAsia"/>
                <w:color w:val="auto"/>
                <w:szCs w:val="20"/>
              </w:rPr>
              <w:t>%</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5</w:t>
      </w:r>
      <w:r>
        <w:rPr>
          <w:rFonts w:eastAsiaTheme="minorEastAsia"/>
          <w:b/>
          <w:i/>
          <w:color w:val="auto"/>
        </w:rPr>
        <w:t>:</w:t>
      </w:r>
      <w:r>
        <w:rPr>
          <w:rFonts w:hint="eastAsia" w:eastAsiaTheme="minorEastAsia"/>
          <w:bCs/>
          <w:i/>
          <w:color w:val="auto"/>
        </w:rPr>
        <w:t xml:space="preserve"> For Direction A/B, performance degradation of -2.5% for layer 1 </w:t>
      </w:r>
      <w:r>
        <w:rPr>
          <w:rFonts w:eastAsiaTheme="minorEastAsia"/>
          <w:bCs/>
          <w:i/>
          <w:color w:val="auto"/>
        </w:rPr>
        <w:t>SGCS</w:t>
      </w:r>
      <w:r>
        <w:rPr>
          <w:rFonts w:hint="eastAsia" w:eastAsiaTheme="minorEastAsia"/>
          <w:bCs/>
          <w:i/>
          <w:color w:val="auto"/>
        </w:rPr>
        <w:t xml:space="preserve"> and -3.9% for layer 2 </w:t>
      </w:r>
      <w:r>
        <w:rPr>
          <w:rFonts w:eastAsiaTheme="minorEastAsia"/>
          <w:bCs/>
          <w:i/>
          <w:color w:val="auto"/>
        </w:rPr>
        <w:t>SGCS</w:t>
      </w:r>
      <w:r>
        <w:rPr>
          <w:rFonts w:hint="eastAsia" w:eastAsiaTheme="minorEastAsia"/>
          <w:bCs/>
          <w:i/>
          <w:color w:val="auto"/>
        </w:rPr>
        <w:t xml:space="preserve"> are observed due to the impact of UE-side / NW-side data distribution mismatch with respect to UE-side additional condition.</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6</w:t>
      </w:r>
      <w:r>
        <w:rPr>
          <w:rFonts w:eastAsiaTheme="minorEastAsia"/>
          <w:b/>
          <w:i/>
          <w:color w:val="auto"/>
        </w:rPr>
        <w:t>:</w:t>
      </w:r>
      <w:r>
        <w:rPr>
          <w:rFonts w:hint="eastAsia" w:eastAsiaTheme="minorEastAsia"/>
          <w:bCs/>
          <w:i/>
          <w:color w:val="auto"/>
        </w:rPr>
        <w:t xml:space="preserve"> For Direction A/B, compared with the case that the UE-side trains an encoder based on Dataset B, there is almost no performance improvement if the UE side trains the encoder based on Dataset A (e.g., transferred from the NW side) and Dataset B.</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7</w:t>
      </w:r>
      <w:r>
        <w:rPr>
          <w:rFonts w:eastAsiaTheme="minorEastAsia"/>
          <w:b/>
          <w:i/>
          <w:color w:val="auto"/>
        </w:rPr>
        <w:t>:</w:t>
      </w:r>
      <w:r>
        <w:rPr>
          <w:rFonts w:hint="eastAsia" w:eastAsiaTheme="minorEastAsia"/>
          <w:bCs/>
          <w:i/>
          <w:color w:val="auto"/>
        </w:rPr>
        <w:t xml:space="preserve"> For Direction A/B, if the NW side trains the encoder-decoder pair based on dataset mixed from Dataset A and Dataset B, the performance loss caused by data distribution mismatch is greatly </w:t>
      </w:r>
      <w:r>
        <w:rPr>
          <w:rFonts w:eastAsiaTheme="minorEastAsia"/>
          <w:bCs/>
          <w:i/>
          <w:color w:val="auto"/>
        </w:rPr>
        <w:t>alleviated</w:t>
      </w:r>
      <w:r>
        <w:rPr>
          <w:rFonts w:hint="eastAsia" w:eastAsiaTheme="minorEastAsia"/>
          <w:bCs/>
          <w:i/>
          <w:color w:val="auto"/>
        </w:rPr>
        <w:t>.</w:t>
      </w:r>
      <w:r>
        <w:rPr>
          <w:rFonts w:eastAsiaTheme="minorEastAsia"/>
          <w:bCs/>
          <w:i/>
          <w:color w:val="auto"/>
        </w:rPr>
        <w:t xml:space="preserve"> </w:t>
      </w:r>
    </w:p>
    <w:p>
      <w:pPr>
        <w:rPr>
          <w:color w:val="auto"/>
          <w:sz w:val="21"/>
          <w:szCs w:val="21"/>
        </w:rPr>
      </w:pP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 xml:space="preserve">Evaluation results </w:t>
      </w:r>
      <w:r>
        <w:rPr>
          <w:rFonts w:hint="eastAsia" w:eastAsia="宋体"/>
          <w:b/>
          <w:color w:val="auto"/>
          <w:sz w:val="21"/>
          <w:szCs w:val="21"/>
          <w:lang w:val="en-US" w:eastAsia="zh-CN"/>
        </w:rPr>
        <w:t xml:space="preserve">for </w:t>
      </w:r>
      <w:r>
        <w:rPr>
          <w:rFonts w:hint="eastAsia" w:eastAsia="宋体"/>
          <w:b/>
          <w:color w:val="auto"/>
          <w:sz w:val="21"/>
          <w:szCs w:val="21"/>
        </w:rPr>
        <w:t>Direction C</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For Direction C, there is no inter-vendor collaboration during the whole model training or fine-tuning procedures. As a result, data distribution mismatch (e.g., between synthetic and field data, between NW-side field data and UE-side field data) happens, which may or may not cause performance degradation in the field. In RAN1#118b, the following evaluation assumptions were agreed for further evaluation study of data distribution mismatch.</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ind w:left="1440" w:hanging="1440"/>
              <w:rPr>
                <w:rFonts w:eastAsia="等线"/>
                <w:b/>
                <w:bCs/>
                <w:color w:val="auto"/>
                <w:u w:val="single"/>
                <w:lang w:val="en-GB" w:eastAsia="ko-KR"/>
              </w:rPr>
            </w:pPr>
            <w:r>
              <w:rPr>
                <w:rFonts w:eastAsia="等线"/>
                <w:b/>
                <w:bCs/>
                <w:color w:val="auto"/>
                <w:u w:val="single"/>
                <w:lang w:val="en-GB"/>
              </w:rPr>
              <w:t>Agreement</w:t>
            </w:r>
          </w:p>
          <w:p>
            <w:pPr>
              <w:numPr>
                <w:ilvl w:val="0"/>
                <w:numId w:val="18"/>
              </w:numPr>
              <w:suppressAutoHyphens/>
              <w:snapToGrid w:val="0"/>
              <w:spacing w:before="72" w:beforeLines="30" w:after="72" w:afterLines="30" w:line="288" w:lineRule="auto"/>
              <w:ind w:hanging="357"/>
              <w:jc w:val="both"/>
              <w:rPr>
                <w:rFonts w:eastAsia="Calibri"/>
                <w:color w:val="auto"/>
                <w:lang w:val="en-GB" w:eastAsia="en-US"/>
              </w:rPr>
            </w:pPr>
            <w:r>
              <w:rPr>
                <w:rFonts w:eastAsia="宋体"/>
                <w:color w:val="auto"/>
                <w:lang w:val="en-GB" w:eastAsia="en-US"/>
              </w:rPr>
              <w:t xml:space="preserve">For </w:t>
            </w:r>
            <w:r>
              <w:rPr>
                <w:rFonts w:hint="eastAsia" w:eastAsia="宋体"/>
                <w:color w:val="auto"/>
                <w:lang w:val="en-GB"/>
              </w:rPr>
              <w:t>Direction C</w:t>
            </w:r>
            <w:r>
              <w:rPr>
                <w:rFonts w:eastAsia="宋体"/>
                <w:color w:val="auto"/>
                <w:lang w:val="en-GB" w:eastAsia="en-US"/>
              </w:rPr>
              <w:t>:</w:t>
            </w:r>
          </w:p>
          <w:p>
            <w:pPr>
              <w:numPr>
                <w:ilvl w:val="1"/>
                <w:numId w:val="18"/>
              </w:numPr>
              <w:suppressAutoHyphens/>
              <w:snapToGrid w:val="0"/>
              <w:spacing w:before="72" w:beforeLines="30" w:after="72" w:afterLines="30" w:line="288" w:lineRule="auto"/>
              <w:ind w:hanging="357"/>
              <w:jc w:val="both"/>
              <w:rPr>
                <w:rFonts w:eastAsia="Calibri"/>
                <w:color w:val="auto"/>
                <w:lang w:val="en-GB" w:eastAsia="ko-KR"/>
              </w:rPr>
            </w:pPr>
            <w:r>
              <w:rPr>
                <w:rFonts w:eastAsia="Calibri"/>
                <w:color w:val="auto"/>
                <w:lang w:val="en-GB" w:eastAsia="ko-KR"/>
              </w:rPr>
              <w:t>It is clarified that, the purpose of a fully specified CSI generation (reconstruction) part is to enable development/training of compatible CSI reconstruction (generation) parts at the NW (UE) side.</w:t>
            </w:r>
          </w:p>
          <w:p>
            <w:pPr>
              <w:numPr>
                <w:ilvl w:val="1"/>
                <w:numId w:val="18"/>
              </w:numPr>
              <w:suppressAutoHyphens/>
              <w:snapToGrid w:val="0"/>
              <w:spacing w:before="72" w:beforeLines="30" w:after="72" w:afterLines="30" w:line="288" w:lineRule="auto"/>
              <w:ind w:hanging="357"/>
              <w:jc w:val="both"/>
              <w:rPr>
                <w:rFonts w:eastAsia="Calibri"/>
                <w:color w:val="auto"/>
                <w:lang w:val="en-GB" w:eastAsia="ko-KR"/>
              </w:rPr>
            </w:pPr>
            <w:r>
              <w:rPr>
                <w:rFonts w:eastAsia="Calibri"/>
                <w:bCs/>
                <w:iCs/>
                <w:color w:val="auto"/>
                <w:lang w:val="en-GB" w:eastAsia="ko-KR"/>
              </w:rPr>
              <w:t>Study whether the fully s</w:t>
            </w:r>
            <w:r>
              <w:rPr>
                <w:rFonts w:eastAsia="Calibri"/>
                <w:color w:val="auto"/>
                <w:lang w:val="en-GB" w:eastAsia="ko-KR"/>
              </w:rPr>
              <w:t xml:space="preserve">pecified reference models or their compatible models </w:t>
            </w:r>
            <w:r>
              <w:rPr>
                <w:rFonts w:eastAsia="Calibri"/>
                <w:bCs/>
                <w:iCs/>
                <w:color w:val="auto"/>
                <w:lang w:val="en-GB" w:eastAsia="ko-KR"/>
              </w:rPr>
              <w:t xml:space="preserve">may provide reasonable performance </w:t>
            </w:r>
            <w:r>
              <w:rPr>
                <w:rFonts w:eastAsia="Calibri"/>
                <w:color w:val="auto"/>
                <w:lang w:val="en-GB" w:eastAsia="ko-KR"/>
              </w:rPr>
              <w:t>for deployment at NW and UE</w:t>
            </w:r>
          </w:p>
          <w:p>
            <w:pPr>
              <w:numPr>
                <w:ilvl w:val="2"/>
                <w:numId w:val="18"/>
              </w:numPr>
              <w:suppressAutoHyphens/>
              <w:snapToGrid w:val="0"/>
              <w:spacing w:before="72" w:beforeLines="30" w:after="72" w:afterLines="30" w:line="288" w:lineRule="auto"/>
              <w:ind w:hanging="357"/>
              <w:jc w:val="both"/>
              <w:rPr>
                <w:rFonts w:eastAsia="Calibri"/>
                <w:color w:val="auto"/>
                <w:lang w:val="en-GB" w:eastAsia="ko-KR"/>
              </w:rPr>
            </w:pPr>
            <w:r>
              <w:rPr>
                <w:rFonts w:eastAsia="Calibri"/>
                <w:color w:val="auto"/>
                <w:lang w:val="en-GB" w:eastAsia="ko-KR"/>
              </w:rPr>
              <w:t xml:space="preserve">Including performance </w:t>
            </w:r>
            <w:r>
              <w:rPr>
                <w:rFonts w:eastAsia="Calibri"/>
                <w:bCs/>
                <w:iCs/>
                <w:color w:val="auto"/>
                <w:lang w:val="en-GB" w:eastAsia="ko-KR"/>
              </w:rPr>
              <w:t xml:space="preserve">evaluation </w:t>
            </w:r>
            <w:r>
              <w:rPr>
                <w:rFonts w:eastAsia="Calibri"/>
                <w:color w:val="auto"/>
                <w:lang w:val="en-GB" w:eastAsia="ko-KR"/>
              </w:rPr>
              <w:t xml:space="preserve">of training/finetuning the models by modeling data distribution mismatch </w:t>
            </w:r>
            <w:r>
              <w:rPr>
                <w:rFonts w:eastAsia="等线"/>
                <w:color w:val="auto"/>
                <w:lang w:val="en-GB"/>
              </w:rPr>
              <w:t xml:space="preserve">between synthetic and field data, </w:t>
            </w:r>
            <w:r>
              <w:rPr>
                <w:rFonts w:eastAsia="Calibri"/>
                <w:color w:val="auto"/>
                <w:lang w:val="en-GB" w:eastAsia="ko-KR"/>
              </w:rPr>
              <w:t>and/or by using actual field data</w:t>
            </w:r>
          </w:p>
          <w:p>
            <w:pPr>
              <w:numPr>
                <w:ilvl w:val="2"/>
                <w:numId w:val="18"/>
              </w:numPr>
              <w:suppressAutoHyphens/>
              <w:snapToGrid w:val="0"/>
              <w:spacing w:before="72" w:beforeLines="30" w:after="72" w:afterLines="30" w:line="288" w:lineRule="auto"/>
              <w:ind w:hanging="357"/>
              <w:jc w:val="both"/>
              <w:rPr>
                <w:rFonts w:eastAsia="Calibri"/>
                <w:strike/>
                <w:color w:val="auto"/>
                <w:lang w:val="en-GB" w:eastAsia="ko-KR"/>
              </w:rPr>
            </w:pPr>
            <w:r>
              <w:rPr>
                <w:rFonts w:eastAsia="Calibri"/>
                <w:color w:val="auto"/>
                <w:lang w:val="en-GB" w:eastAsia="ko-KR"/>
              </w:rPr>
              <w:t xml:space="preserve">Including performance </w:t>
            </w:r>
            <w:r>
              <w:rPr>
                <w:rFonts w:eastAsia="Calibri"/>
                <w:bCs/>
                <w:iCs/>
                <w:color w:val="auto"/>
                <w:lang w:val="en-GB" w:eastAsia="ko-KR"/>
              </w:rPr>
              <w:t xml:space="preserve">evaluation </w:t>
            </w:r>
            <w:r>
              <w:rPr>
                <w:rFonts w:eastAsia="Calibri"/>
                <w:color w:val="auto"/>
                <w:lang w:val="en-GB" w:eastAsia="ko-KR"/>
              </w:rPr>
              <w:t xml:space="preserve">of training/finetuning the models </w:t>
            </w:r>
            <w:r>
              <w:rPr>
                <w:rFonts w:eastAsia="等线"/>
                <w:color w:val="auto"/>
                <w:lang w:val="en-GB"/>
              </w:rPr>
              <w:t xml:space="preserve">by modelling data distribution mismatch between </w:t>
            </w:r>
            <w:r>
              <w:rPr>
                <w:rFonts w:eastAsia="Calibri"/>
                <w:color w:val="auto"/>
                <w:lang w:val="en-GB" w:eastAsia="ko-KR"/>
              </w:rPr>
              <w:t xml:space="preserve">NW-side </w:t>
            </w:r>
            <w:r>
              <w:rPr>
                <w:rFonts w:eastAsia="等线"/>
                <w:color w:val="auto"/>
                <w:lang w:val="en-GB"/>
              </w:rPr>
              <w:t xml:space="preserve">field data </w:t>
            </w:r>
            <w:r>
              <w:rPr>
                <w:rFonts w:eastAsia="Calibri"/>
                <w:color w:val="auto"/>
                <w:lang w:val="en-GB" w:eastAsia="ko-KR"/>
              </w:rPr>
              <w:t xml:space="preserve">and UE-side </w:t>
            </w:r>
            <w:r>
              <w:rPr>
                <w:rFonts w:eastAsia="等线"/>
                <w:color w:val="auto"/>
                <w:lang w:val="en-GB"/>
              </w:rPr>
              <w:t xml:space="preserve">field </w:t>
            </w:r>
            <w:r>
              <w:rPr>
                <w:rFonts w:eastAsia="Calibri"/>
                <w:color w:val="auto"/>
                <w:lang w:val="en-GB" w:eastAsia="ko-KR"/>
              </w:rPr>
              <w:t>data</w:t>
            </w:r>
            <w:r>
              <w:rPr>
                <w:rFonts w:eastAsia="等线"/>
                <w:color w:val="auto"/>
                <w:lang w:val="en-GB"/>
              </w:rPr>
              <w:t xml:space="preserve">, </w:t>
            </w:r>
            <w:r>
              <w:rPr>
                <w:rFonts w:eastAsia="Calibri"/>
                <w:color w:val="auto"/>
                <w:lang w:val="en-GB" w:eastAsia="ko-KR"/>
              </w:rPr>
              <w:t>and/or by using actual field data</w:t>
            </w:r>
            <w:r>
              <w:rPr>
                <w:rFonts w:eastAsia="等线"/>
                <w:color w:val="auto"/>
                <w:lang w:val="en-GB"/>
              </w:rPr>
              <w:t xml:space="preserve"> from both NW-side and UE-side</w:t>
            </w:r>
          </w:p>
          <w:p>
            <w:pPr>
              <w:numPr>
                <w:ilvl w:val="2"/>
                <w:numId w:val="18"/>
              </w:numPr>
              <w:suppressAutoHyphens/>
              <w:snapToGrid w:val="0"/>
              <w:spacing w:before="72" w:beforeLines="30" w:after="72" w:afterLines="30" w:line="288" w:lineRule="auto"/>
              <w:ind w:hanging="357"/>
              <w:jc w:val="both"/>
              <w:rPr>
                <w:rFonts w:eastAsia="Calibri"/>
                <w:color w:val="auto"/>
                <w:lang w:val="en-GB" w:eastAsia="ko-KR"/>
              </w:rPr>
            </w:pPr>
            <w:r>
              <w:rPr>
                <w:rFonts w:eastAsia="Calibri"/>
                <w:color w:val="auto"/>
                <w:lang w:val="en-GB" w:eastAsia="ko-KR"/>
              </w:rPr>
              <w:t xml:space="preserve">Note: Training/finetuning </w:t>
            </w:r>
            <w:r>
              <w:rPr>
                <w:rFonts w:eastAsia="等线"/>
                <w:color w:val="auto"/>
                <w:lang w:val="en-GB"/>
              </w:rPr>
              <w:t>is</w:t>
            </w:r>
            <w:r>
              <w:rPr>
                <w:rFonts w:eastAsia="Calibri"/>
                <w:color w:val="auto"/>
                <w:lang w:val="en-GB" w:eastAsia="ko-KR"/>
              </w:rPr>
              <w:t xml:space="preserve"> done at either or both sides without </w:t>
            </w:r>
            <w:r>
              <w:rPr>
                <w:rFonts w:eastAsia="等线"/>
                <w:color w:val="auto"/>
                <w:lang w:val="en-GB"/>
              </w:rPr>
              <w:t>inter-vendor collaboration</w:t>
            </w:r>
            <w:r>
              <w:rPr>
                <w:rFonts w:eastAsia="Calibri"/>
                <w:color w:val="auto"/>
                <w:lang w:val="en-GB" w:eastAsia="ko-KR"/>
              </w:rPr>
              <w:t xml:space="preserve">. </w:t>
            </w:r>
          </w:p>
          <w:p>
            <w:pPr>
              <w:numPr>
                <w:ilvl w:val="1"/>
                <w:numId w:val="18"/>
              </w:numPr>
              <w:suppressAutoHyphens/>
              <w:snapToGrid w:val="0"/>
              <w:spacing w:before="72" w:beforeLines="30" w:after="72" w:afterLines="30" w:line="288" w:lineRule="auto"/>
              <w:ind w:hanging="357"/>
              <w:jc w:val="both"/>
              <w:rPr>
                <w:rFonts w:eastAsia="Calibri"/>
                <w:color w:val="auto"/>
                <w:lang w:val="en-GB" w:eastAsia="ko-KR"/>
              </w:rPr>
            </w:pPr>
            <w:r>
              <w:rPr>
                <w:rFonts w:eastAsia="Calibri"/>
                <w:color w:val="auto"/>
                <w:lang w:val="en-GB" w:eastAsia="ko-KR"/>
              </w:rPr>
              <w:t>FFS whether the reference model is the encoder (1-1) or decoder (1-2) or both (1-3)</w:t>
            </w:r>
          </w:p>
          <w:p>
            <w:pPr>
              <w:numPr>
                <w:ilvl w:val="1"/>
                <w:numId w:val="18"/>
              </w:numPr>
              <w:suppressAutoHyphens/>
              <w:snapToGrid w:val="0"/>
              <w:spacing w:before="72" w:beforeLines="30" w:after="72" w:afterLines="30" w:line="288" w:lineRule="auto"/>
              <w:ind w:hanging="357"/>
              <w:jc w:val="both"/>
              <w:rPr>
                <w:rFonts w:eastAsiaTheme="minorEastAsia"/>
                <w:i/>
                <w:color w:val="auto"/>
              </w:rPr>
            </w:pPr>
            <w:r>
              <w:rPr>
                <w:rFonts w:eastAsia="Calibri"/>
                <w:color w:val="auto"/>
                <w:lang w:val="en-GB" w:eastAsia="ko-KR"/>
              </w:rPr>
              <w:t>FFS whether the reference model is the same as RAN4 specified model</w:t>
            </w:r>
          </w:p>
          <w:p>
            <w:pPr>
              <w:numPr>
                <w:ilvl w:val="1"/>
                <w:numId w:val="18"/>
              </w:numPr>
              <w:suppressAutoHyphens/>
              <w:snapToGrid w:val="0"/>
              <w:spacing w:before="72" w:beforeLines="30" w:after="72" w:afterLines="30" w:line="288" w:lineRule="auto"/>
              <w:ind w:hanging="357"/>
              <w:jc w:val="both"/>
              <w:rPr>
                <w:rFonts w:eastAsiaTheme="minorEastAsia"/>
                <w:i/>
                <w:color w:val="auto"/>
              </w:rPr>
            </w:pPr>
            <w:r>
              <w:rPr>
                <w:rFonts w:eastAsia="Calibri"/>
                <w:color w:val="auto"/>
                <w:lang w:val="en-GB" w:eastAsia="ko-KR"/>
              </w:rPr>
              <w:t>FFS whether a single or multiple reference (and how many) models need to be specified</w:t>
            </w:r>
          </w:p>
          <w:p>
            <w:pPr>
              <w:suppressAutoHyphens/>
              <w:snapToGrid w:val="0"/>
              <w:spacing w:before="72" w:beforeLines="30" w:after="72" w:afterLines="30" w:line="288" w:lineRule="auto"/>
              <w:jc w:val="both"/>
              <w:rPr>
                <w:rFonts w:eastAsia="Calibri"/>
                <w:color w:val="auto"/>
                <w:lang w:val="en-GB" w:eastAsia="ko-KR"/>
              </w:rPr>
            </w:pPr>
          </w:p>
          <w:p>
            <w:pPr>
              <w:snapToGrid w:val="0"/>
              <w:spacing w:before="72" w:beforeLines="30" w:after="72" w:afterLines="30" w:line="288" w:lineRule="auto"/>
              <w:ind w:left="1440" w:hanging="1440"/>
              <w:rPr>
                <w:rFonts w:eastAsia="等线"/>
                <w:b/>
                <w:bCs/>
                <w:color w:val="auto"/>
                <w:u w:val="single"/>
                <w:lang w:val="en-GB"/>
              </w:rPr>
            </w:pPr>
            <w:r>
              <w:rPr>
                <w:rFonts w:eastAsia="等线"/>
                <w:b/>
                <w:bCs/>
                <w:color w:val="auto"/>
                <w:u w:val="single"/>
                <w:lang w:val="en-GB"/>
              </w:rPr>
              <w:t>Agreement</w:t>
            </w:r>
          </w:p>
          <w:p>
            <w:pPr>
              <w:numPr>
                <w:ilvl w:val="0"/>
                <w:numId w:val="18"/>
              </w:numPr>
              <w:snapToGrid w:val="0"/>
              <w:spacing w:before="72" w:beforeLines="30" w:after="72" w:afterLines="30" w:line="288" w:lineRule="auto"/>
              <w:rPr>
                <w:rFonts w:eastAsia="宋体"/>
                <w:bCs/>
                <w:iCs/>
                <w:color w:val="auto"/>
                <w:szCs w:val="20"/>
                <w:lang w:eastAsia="ko-KR"/>
              </w:rPr>
            </w:pPr>
            <w:r>
              <w:rPr>
                <w:rFonts w:eastAsia="宋体"/>
                <w:color w:val="auto"/>
                <w:szCs w:val="20"/>
                <w:lang w:eastAsia="ko-KR"/>
              </w:rPr>
              <w:t xml:space="preserve">For the evaluation study of offline engineering for </w:t>
            </w:r>
            <w:r>
              <w:rPr>
                <w:rFonts w:hint="eastAsia" w:eastAsia="宋体"/>
                <w:color w:val="auto"/>
                <w:szCs w:val="20"/>
              </w:rPr>
              <w:t>Direction C</w:t>
            </w:r>
            <w:r>
              <w:rPr>
                <w:rFonts w:eastAsia="宋体"/>
                <w:color w:val="auto"/>
                <w:szCs w:val="20"/>
                <w:lang w:eastAsia="ko-KR"/>
              </w:rPr>
              <w:t xml:space="preserve"> for Issue 9:</w:t>
            </w:r>
          </w:p>
          <w:p>
            <w:pPr>
              <w:numPr>
                <w:ilvl w:val="1"/>
                <w:numId w:val="18"/>
              </w:numPr>
              <w:snapToGrid w:val="0"/>
              <w:spacing w:before="72" w:beforeLines="30" w:after="72" w:afterLines="30" w:line="288" w:lineRule="auto"/>
              <w:rPr>
                <w:rFonts w:eastAsia="宋体"/>
                <w:color w:val="auto"/>
                <w:szCs w:val="20"/>
              </w:rPr>
            </w:pPr>
            <w:r>
              <w:rPr>
                <w:rFonts w:eastAsia="宋体"/>
                <w:color w:val="auto"/>
                <w:szCs w:val="20"/>
              </w:rPr>
              <w:t>Case 1: The AI/ML model is trained based on training Dataset B, and then the AI/ML model performs inference/test on a dataset from test Dataset B.</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Note: This serves as the upper-bound performance.</w:t>
            </w:r>
          </w:p>
          <w:p>
            <w:pPr>
              <w:numPr>
                <w:ilvl w:val="1"/>
                <w:numId w:val="18"/>
              </w:numPr>
              <w:snapToGrid w:val="0"/>
              <w:spacing w:before="72" w:beforeLines="30" w:after="72" w:afterLines="30" w:line="288" w:lineRule="auto"/>
              <w:rPr>
                <w:rFonts w:eastAsia="宋体"/>
                <w:color w:val="auto"/>
                <w:szCs w:val="20"/>
              </w:rPr>
            </w:pPr>
            <w:r>
              <w:rPr>
                <w:rFonts w:eastAsia="宋体"/>
                <w:color w:val="auto"/>
                <w:szCs w:val="20"/>
              </w:rPr>
              <w:t>Case 2: The AI/ML model is trained based on training Dataset S, and then the AI/ML model performs inference/test on test Dataset B.</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 xml:space="preserve">Note: This represents the performance of </w:t>
            </w:r>
            <w:r>
              <w:rPr>
                <w:rFonts w:hint="eastAsia" w:eastAsia="宋体"/>
                <w:color w:val="auto"/>
                <w:szCs w:val="20"/>
              </w:rPr>
              <w:t>Direction C</w:t>
            </w:r>
            <w:r>
              <w:rPr>
                <w:rFonts w:eastAsia="宋体"/>
                <w:color w:val="auto"/>
                <w:szCs w:val="20"/>
              </w:rPr>
              <w:t xml:space="preserve"> when not using field data.</w:t>
            </w:r>
          </w:p>
          <w:p>
            <w:pPr>
              <w:numPr>
                <w:ilvl w:val="1"/>
                <w:numId w:val="18"/>
              </w:numPr>
              <w:snapToGrid w:val="0"/>
              <w:spacing w:before="72" w:beforeLines="30" w:after="72" w:afterLines="30" w:line="288" w:lineRule="auto"/>
              <w:rPr>
                <w:rFonts w:eastAsia="宋体"/>
                <w:color w:val="auto"/>
                <w:szCs w:val="20"/>
              </w:rPr>
            </w:pPr>
            <w:r>
              <w:rPr>
                <w:rFonts w:eastAsia="宋体"/>
                <w:color w:val="auto"/>
                <w:szCs w:val="20"/>
              </w:rPr>
              <w:t xml:space="preserve">Case 2A: </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Step 1: The AI/ML model is trained based on training Dataset S</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 xml:space="preserve">Step 2: </w:t>
            </w:r>
          </w:p>
          <w:p>
            <w:pPr>
              <w:numPr>
                <w:ilvl w:val="3"/>
                <w:numId w:val="18"/>
              </w:numPr>
              <w:snapToGrid w:val="0"/>
              <w:spacing w:before="72" w:beforeLines="30" w:after="72" w:afterLines="30" w:line="288" w:lineRule="auto"/>
              <w:rPr>
                <w:rFonts w:eastAsia="宋体"/>
                <w:color w:val="auto"/>
                <w:szCs w:val="20"/>
              </w:rPr>
            </w:pPr>
            <w:r>
              <w:rPr>
                <w:rFonts w:eastAsia="宋体"/>
                <w:color w:val="auto"/>
                <w:szCs w:val="20"/>
              </w:rPr>
              <w:t>NW-side and</w:t>
            </w:r>
            <w:r>
              <w:rPr>
                <w:rFonts w:eastAsia="等线"/>
                <w:color w:val="auto"/>
                <w:szCs w:val="20"/>
              </w:rPr>
              <w:t>/or</w:t>
            </w:r>
            <w:r>
              <w:rPr>
                <w:rFonts w:eastAsia="宋体"/>
                <w:color w:val="auto"/>
                <w:szCs w:val="20"/>
              </w:rPr>
              <w:t xml:space="preserve"> UE-side may separately train new CSI reconstruction part and/or CSI generation part compatible to the AI/ML model from Step 1 based on training Dataset B, as agreed in Note 1-1, 1-2, and 1-3 as agreed in RAN1#118. </w:t>
            </w:r>
          </w:p>
          <w:p>
            <w:pPr>
              <w:numPr>
                <w:ilvl w:val="3"/>
                <w:numId w:val="18"/>
              </w:numPr>
              <w:snapToGrid w:val="0"/>
              <w:spacing w:before="72" w:beforeLines="30" w:after="72" w:afterLines="30" w:line="288" w:lineRule="auto"/>
              <w:rPr>
                <w:rFonts w:eastAsia="宋体"/>
                <w:color w:val="auto"/>
                <w:szCs w:val="20"/>
              </w:rPr>
            </w:pPr>
            <w:r>
              <w:rPr>
                <w:rFonts w:eastAsia="等线"/>
                <w:color w:val="auto"/>
                <w:szCs w:val="20"/>
              </w:rPr>
              <w:t>Dataset from Step 1 may be additionally used.</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Step3: The CSI generation part and the CSI reconstruction part from Step 2 performs inference/test on test Dataset B</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 xml:space="preserve">Note: This represents the performance of </w:t>
            </w:r>
            <w:r>
              <w:rPr>
                <w:rFonts w:hint="eastAsia" w:eastAsia="宋体"/>
                <w:color w:val="auto"/>
                <w:szCs w:val="20"/>
              </w:rPr>
              <w:t>Direction C</w:t>
            </w:r>
            <w:r>
              <w:rPr>
                <w:rFonts w:eastAsia="宋体"/>
                <w:color w:val="auto"/>
                <w:szCs w:val="20"/>
              </w:rPr>
              <w:t xml:space="preserve"> when the AI/ML models are </w:t>
            </w:r>
            <w:r>
              <w:rPr>
                <w:rFonts w:eastAsia="宋体"/>
                <w:color w:val="auto"/>
                <w:szCs w:val="20"/>
                <w:lang w:eastAsia="ko-KR"/>
              </w:rPr>
              <w:t>updated based on field data</w:t>
            </w:r>
            <w:r>
              <w:rPr>
                <w:rFonts w:eastAsia="宋体"/>
                <w:color w:val="auto"/>
                <w:szCs w:val="20"/>
              </w:rPr>
              <w:t>.</w:t>
            </w:r>
          </w:p>
          <w:p>
            <w:pPr>
              <w:numPr>
                <w:ilvl w:val="1"/>
                <w:numId w:val="18"/>
              </w:numPr>
              <w:snapToGrid w:val="0"/>
              <w:spacing w:before="72" w:beforeLines="30" w:after="72" w:afterLines="30" w:line="288" w:lineRule="auto"/>
              <w:rPr>
                <w:rFonts w:eastAsia="宋体"/>
                <w:color w:val="auto"/>
                <w:szCs w:val="20"/>
              </w:rPr>
            </w:pPr>
            <w:r>
              <w:rPr>
                <w:rFonts w:eastAsia="宋体"/>
                <w:color w:val="auto"/>
                <w:szCs w:val="20"/>
              </w:rPr>
              <w:t>Note: Dataset S is meant to represent the synthetic data used for fully specified model development, and Dataset B is meant to represent the field data.</w:t>
            </w:r>
          </w:p>
          <w:p>
            <w:pPr>
              <w:numPr>
                <w:ilvl w:val="2"/>
                <w:numId w:val="18"/>
              </w:numPr>
              <w:snapToGrid w:val="0"/>
              <w:spacing w:before="72" w:beforeLines="30" w:after="72" w:afterLines="30" w:line="288" w:lineRule="auto"/>
              <w:rPr>
                <w:rFonts w:eastAsia="宋体"/>
                <w:color w:val="auto"/>
                <w:szCs w:val="20"/>
              </w:rPr>
            </w:pPr>
            <w:r>
              <w:rPr>
                <w:rFonts w:eastAsia="宋体"/>
                <w:color w:val="auto"/>
                <w:szCs w:val="20"/>
              </w:rPr>
              <w:t xml:space="preserve">Examples for Dataset S and B: </w:t>
            </w:r>
          </w:p>
          <w:p>
            <w:pPr>
              <w:numPr>
                <w:ilvl w:val="3"/>
                <w:numId w:val="18"/>
              </w:numPr>
              <w:snapToGrid w:val="0"/>
              <w:spacing w:before="72" w:beforeLines="30" w:after="72" w:afterLines="30" w:line="288" w:lineRule="auto"/>
              <w:rPr>
                <w:rFonts w:eastAsia="宋体"/>
                <w:color w:val="auto"/>
                <w:szCs w:val="20"/>
              </w:rPr>
            </w:pPr>
            <w:r>
              <w:rPr>
                <w:rFonts w:eastAsia="宋体"/>
                <w:color w:val="auto"/>
                <w:szCs w:val="20"/>
              </w:rPr>
              <w:t>Modeling via TxRU mapping, UMi vs. UMa, UMa vs. InH, etc.</w:t>
            </w:r>
          </w:p>
          <w:p>
            <w:pPr>
              <w:numPr>
                <w:ilvl w:val="4"/>
                <w:numId w:val="18"/>
              </w:numPr>
              <w:snapToGrid w:val="0"/>
              <w:spacing w:before="72" w:beforeLines="30" w:after="72" w:afterLines="30" w:line="288" w:lineRule="auto"/>
              <w:rPr>
                <w:rFonts w:eastAsia="宋体"/>
                <w:color w:val="auto"/>
                <w:szCs w:val="20"/>
              </w:rPr>
            </w:pPr>
            <w:r>
              <w:rPr>
                <w:rFonts w:eastAsia="宋体"/>
                <w:color w:val="auto"/>
                <w:szCs w:val="20"/>
              </w:rPr>
              <w:t>It is acknowledged that the scenario/configuration modeling between S and B may not be complete representative of the difference between synthetic and field data distribution mismatch.</w:t>
            </w:r>
          </w:p>
          <w:p>
            <w:pPr>
              <w:numPr>
                <w:ilvl w:val="3"/>
                <w:numId w:val="18"/>
              </w:numPr>
              <w:snapToGrid w:val="0"/>
              <w:spacing w:before="72" w:beforeLines="30" w:after="72" w:afterLines="30" w:line="288" w:lineRule="auto"/>
              <w:rPr>
                <w:rFonts w:eastAsia="宋体"/>
                <w:color w:val="auto"/>
                <w:szCs w:val="20"/>
              </w:rPr>
            </w:pPr>
            <w:r>
              <w:rPr>
                <w:rFonts w:eastAsia="宋体"/>
                <w:color w:val="auto"/>
                <w:szCs w:val="20"/>
              </w:rPr>
              <w:t>Synthetic vs. actual field data (if available)</w:t>
            </w:r>
          </w:p>
          <w:p>
            <w:pPr>
              <w:numPr>
                <w:ilvl w:val="4"/>
                <w:numId w:val="18"/>
              </w:numPr>
              <w:snapToGrid w:val="0"/>
              <w:spacing w:before="72" w:beforeLines="30" w:after="72" w:afterLines="30" w:line="288" w:lineRule="auto"/>
              <w:rPr>
                <w:rFonts w:eastAsia="宋体"/>
                <w:color w:val="auto"/>
                <w:szCs w:val="20"/>
              </w:rPr>
            </w:pPr>
            <w:r>
              <w:rPr>
                <w:rFonts w:eastAsia="宋体"/>
                <w:color w:val="auto"/>
                <w:szCs w:val="20"/>
              </w:rPr>
              <w:t>Companies are encouraged to provide details on the scenarios/configurations underlying the field data</w:t>
            </w:r>
          </w:p>
          <w:p>
            <w:pPr>
              <w:numPr>
                <w:ilvl w:val="1"/>
                <w:numId w:val="18"/>
              </w:numPr>
              <w:snapToGrid w:val="0"/>
              <w:spacing w:before="72" w:beforeLines="30" w:after="72" w:afterLines="30" w:line="288" w:lineRule="auto"/>
              <w:rPr>
                <w:rFonts w:eastAsia="宋体"/>
                <w:color w:val="auto"/>
                <w:szCs w:val="20"/>
              </w:rPr>
            </w:pPr>
            <w:r>
              <w:rPr>
                <w:rFonts w:eastAsia="宋体"/>
                <w:color w:val="auto"/>
                <w:szCs w:val="20"/>
              </w:rPr>
              <w:t>Note: Case 1 and Case 2 have been studied during Rel-18 generalization study and conclusions have been captured in the TR.</w:t>
            </w:r>
          </w:p>
          <w:p>
            <w:pPr>
              <w:numPr>
                <w:ilvl w:val="1"/>
                <w:numId w:val="18"/>
              </w:numPr>
              <w:snapToGrid w:val="0"/>
              <w:spacing w:before="72" w:beforeLines="30" w:after="72" w:afterLines="30" w:line="288" w:lineRule="auto"/>
              <w:rPr>
                <w:rFonts w:eastAsia="宋体"/>
                <w:color w:val="auto"/>
                <w:szCs w:val="20"/>
              </w:rPr>
            </w:pPr>
            <w:r>
              <w:rPr>
                <w:rFonts w:eastAsia="宋体"/>
                <w:color w:val="auto"/>
                <w:szCs w:val="20"/>
              </w:rPr>
              <w:t xml:space="preserve">Note: For Case 2A, companies may additionally evaluate </w:t>
            </w:r>
            <w:r>
              <w:rPr>
                <w:rFonts w:eastAsia="宋体"/>
                <w:color w:val="auto"/>
                <w:szCs w:val="20"/>
                <w:lang w:eastAsia="en-US"/>
              </w:rPr>
              <w:t xml:space="preserve">UE-side / NW-side data distribution mismatch </w:t>
            </w:r>
            <w:r>
              <w:rPr>
                <w:rFonts w:eastAsia="等线"/>
                <w:color w:val="auto"/>
                <w:szCs w:val="20"/>
              </w:rPr>
              <w:t>with respect to UE side additional condition. This can be done, in Step 2,</w:t>
            </w:r>
            <w:r>
              <w:rPr>
                <w:rFonts w:eastAsia="宋体"/>
                <w:color w:val="auto"/>
                <w:szCs w:val="20"/>
              </w:rPr>
              <w:t xml:space="preserve"> </w:t>
            </w:r>
            <w:r>
              <w:rPr>
                <w:rFonts w:eastAsia="等线"/>
                <w:color w:val="auto"/>
                <w:szCs w:val="20"/>
              </w:rPr>
              <w:t xml:space="preserve">by </w:t>
            </w:r>
            <w:r>
              <w:rPr>
                <w:rFonts w:eastAsia="宋体"/>
                <w:color w:val="auto"/>
                <w:szCs w:val="20"/>
              </w:rPr>
              <w:t>treating the training Dataset B as representing UE-side data distribution</w:t>
            </w:r>
            <w:r>
              <w:rPr>
                <w:rFonts w:eastAsia="等线"/>
                <w:color w:val="auto"/>
                <w:szCs w:val="20"/>
              </w:rPr>
              <w:t xml:space="preserve"> and considering a </w:t>
            </w:r>
            <w:r>
              <w:rPr>
                <w:rFonts w:eastAsia="宋体"/>
                <w:color w:val="auto"/>
                <w:szCs w:val="20"/>
              </w:rPr>
              <w:t>training Dataset A representing NW-side data distribution.</w:t>
            </w:r>
          </w:p>
          <w:p>
            <w:pPr>
              <w:numPr>
                <w:ilvl w:val="1"/>
                <w:numId w:val="18"/>
              </w:numPr>
              <w:snapToGrid w:val="0"/>
              <w:spacing w:before="72" w:beforeLines="30" w:after="72" w:afterLines="30" w:line="288" w:lineRule="auto"/>
              <w:rPr>
                <w:rFonts w:eastAsia="Calibri"/>
                <w:color w:val="auto"/>
                <w:lang w:val="en-GB" w:eastAsia="ko-KR"/>
              </w:rPr>
            </w:pPr>
            <w:r>
              <w:rPr>
                <w:rFonts w:eastAsia="宋体"/>
                <w:color w:val="auto"/>
                <w:szCs w:val="20"/>
              </w:rPr>
              <w:t>Note: Evaluations are assumed to performed without common reference model among companies.</w:t>
            </w:r>
          </w:p>
        </w:tc>
      </w:tr>
    </w:tbl>
    <w:p>
      <w:pPr>
        <w:widowControl w:val="0"/>
        <w:numPr>
          <w:ilvl w:val="0"/>
          <w:numId w:val="19"/>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As a representative of Direction A, sub-option 1-1 with standardized reference encoder is emulated in the following for the evaluation study of offline engineering. Specifically, to model the synthetic and field data distribution mismatch, dataset are generated under UMa and InH scenarios, respectively, to represent the synthetic data and field data. Additionally, the phase normalization (i.e., aligning the phase of eigen-vector onto the first complex element) is considered for the evaluation of UE-side / NW-side data distribution mismatch with respect to UE side additional condition. The dataset generation methods are summarized in the following table.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2349"/>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synthetic data vs field data</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UE-side additional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Dataset B</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InH scenarios</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 xml:space="preserve">without </w:t>
            </w:r>
            <w:r>
              <w:rPr>
                <w:color w:val="auto"/>
                <w:szCs w:val="21"/>
              </w:rPr>
              <w:t>phase normalization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Dataset S</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UMa scenarios</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 xml:space="preserve">without </w:t>
            </w:r>
            <w:r>
              <w:rPr>
                <w:color w:val="auto"/>
                <w:szCs w:val="21"/>
              </w:rPr>
              <w:t>phase normalization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color w:val="auto"/>
                <w:szCs w:val="21"/>
              </w:rPr>
            </w:pPr>
            <w:r>
              <w:rPr>
                <w:rFonts w:hint="eastAsia" w:eastAsia="宋体"/>
                <w:color w:val="auto"/>
                <w:szCs w:val="21"/>
              </w:rPr>
              <w:t>Dataset A</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InH scenarios</w:t>
            </w:r>
          </w:p>
        </w:tc>
        <w:tc>
          <w:tcPr>
            <w:tcW w:w="0" w:type="auto"/>
            <w:vAlign w:val="center"/>
          </w:tcPr>
          <w:p>
            <w:pPr>
              <w:snapToGrid w:val="0"/>
              <w:spacing w:before="72" w:beforeLines="30" w:after="72" w:afterLines="30" w:line="288" w:lineRule="auto"/>
              <w:jc w:val="center"/>
              <w:rPr>
                <w:rFonts w:eastAsia="宋体"/>
                <w:color w:val="auto"/>
                <w:szCs w:val="21"/>
              </w:rPr>
            </w:pPr>
            <w:r>
              <w:rPr>
                <w:rFonts w:hint="eastAsia"/>
                <w:color w:val="auto"/>
                <w:szCs w:val="21"/>
              </w:rPr>
              <w:t xml:space="preserve">with </w:t>
            </w:r>
            <w:r>
              <w:rPr>
                <w:color w:val="auto"/>
                <w:szCs w:val="21"/>
              </w:rPr>
              <w:t>phase normalization</w:t>
            </w:r>
          </w:p>
        </w:tc>
      </w:tr>
    </w:tbl>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For simplicity, we mainly investigate SF compression in our simulation and reuse all typical configurations in Rel-18 including a feedback payload of PC8 (644 bits for two layers). The following 7 cases are considered for the evaluation comparisons. For all sub cases of Case 2A (i.e., from Case 2A-1 to Case 2A-5), the specified reference encoder remains fixed at the UE side without model re-training or fine-tuning, while the decoder at the NW side is retrained. Particularly, for Case 2A-3/4/5, the </w:t>
      </w:r>
      <w:r>
        <w:rPr>
          <w:rFonts w:eastAsia="宋体"/>
          <w:iCs/>
          <w:color w:val="auto"/>
        </w:rPr>
        <w:t xml:space="preserve">NW-side decoder </w:t>
      </w:r>
      <w:r>
        <w:rPr>
          <w:rFonts w:hint="eastAsia" w:eastAsia="宋体"/>
          <w:iCs/>
          <w:color w:val="auto"/>
        </w:rPr>
        <w:t xml:space="preserve">is trained </w:t>
      </w:r>
      <w:r>
        <w:rPr>
          <w:rFonts w:eastAsia="宋体"/>
          <w:iCs/>
          <w:color w:val="auto"/>
        </w:rPr>
        <w:t xml:space="preserve">based on </w:t>
      </w:r>
      <w:r>
        <w:rPr>
          <w:rFonts w:hint="eastAsia" w:eastAsia="宋体"/>
          <w:iCs/>
          <w:color w:val="auto"/>
        </w:rPr>
        <w:t>a d</w:t>
      </w:r>
      <w:r>
        <w:rPr>
          <w:rFonts w:eastAsia="宋体"/>
          <w:iCs/>
          <w:color w:val="auto"/>
        </w:rPr>
        <w:t xml:space="preserve">ataset </w:t>
      </w:r>
      <w:r>
        <w:rPr>
          <w:rFonts w:hint="eastAsia" w:eastAsia="宋体"/>
          <w:iCs/>
          <w:color w:val="auto"/>
        </w:rPr>
        <w:t>mixed from dataset A and dataset B with a pre-determined mixing ratio, which implies NW-side timely data collection to update the decoder design. For example, for Case 2A-4, the dataset for decoder training consists of 80% data from dataset A and 20% data dataset B. For fair comparison, the training dataset of all cases contains the same number of samples.</w:t>
      </w:r>
    </w:p>
    <w:p>
      <w:pPr>
        <w:pStyle w:val="113"/>
        <w:numPr>
          <w:ilvl w:val="0"/>
          <w:numId w:val="20"/>
        </w:numPr>
        <w:snapToGrid w:val="0"/>
        <w:spacing w:before="72" w:beforeLines="30" w:after="72" w:afterLines="30" w:line="288" w:lineRule="auto"/>
        <w:ind w:firstLineChars="0"/>
        <w:rPr>
          <w:color w:val="auto"/>
          <w:szCs w:val="21"/>
        </w:rPr>
      </w:pPr>
      <w:r>
        <w:rPr>
          <w:rFonts w:eastAsia="宋体"/>
          <w:color w:val="auto"/>
          <w:szCs w:val="21"/>
        </w:rPr>
        <w:t>Case 1: A model trained on Dataset B performs inference on Dataset B</w:t>
      </w:r>
    </w:p>
    <w:p>
      <w:pPr>
        <w:pStyle w:val="113"/>
        <w:numPr>
          <w:ilvl w:val="0"/>
          <w:numId w:val="20"/>
        </w:numPr>
        <w:snapToGrid w:val="0"/>
        <w:spacing w:before="72" w:beforeLines="30" w:after="72" w:afterLines="30" w:line="288" w:lineRule="auto"/>
        <w:ind w:firstLineChars="0"/>
        <w:rPr>
          <w:color w:val="auto"/>
          <w:szCs w:val="21"/>
        </w:rPr>
      </w:pPr>
      <w:r>
        <w:rPr>
          <w:rFonts w:eastAsia="宋体"/>
          <w:color w:val="auto"/>
          <w:szCs w:val="21"/>
        </w:rPr>
        <w:t>Case 2: A model trained on Dataset S performs inference on Dataset B</w:t>
      </w:r>
    </w:p>
    <w:p>
      <w:pPr>
        <w:pStyle w:val="113"/>
        <w:numPr>
          <w:ilvl w:val="0"/>
          <w:numId w:val="20"/>
        </w:numPr>
        <w:snapToGrid w:val="0"/>
        <w:spacing w:before="72" w:beforeLines="30" w:after="72" w:afterLines="30" w:line="288" w:lineRule="auto"/>
        <w:ind w:firstLineChars="0"/>
        <w:rPr>
          <w:color w:val="auto"/>
          <w:szCs w:val="21"/>
        </w:rPr>
      </w:pPr>
      <w:r>
        <w:rPr>
          <w:color w:val="auto"/>
          <w:szCs w:val="21"/>
        </w:rPr>
        <w:t>Case 2A</w:t>
      </w:r>
      <w:r>
        <w:rPr>
          <w:rFonts w:eastAsia="宋体"/>
          <w:color w:val="auto"/>
          <w:szCs w:val="21"/>
        </w:rPr>
        <w:t>: A model is trained on Dataset S. The encoder part remains fixed and the decoder is retrained based on any of the following dataset. The inference performance is evaluated on Dataset B.</w:t>
      </w:r>
    </w:p>
    <w:p>
      <w:pPr>
        <w:pStyle w:val="113"/>
        <w:numPr>
          <w:ilvl w:val="0"/>
          <w:numId w:val="22"/>
        </w:numPr>
        <w:snapToGrid w:val="0"/>
        <w:spacing w:before="72" w:beforeLines="30" w:after="72" w:afterLines="30" w:line="288" w:lineRule="auto"/>
        <w:ind w:left="840" w:firstLineChars="0"/>
        <w:rPr>
          <w:color w:val="auto"/>
          <w:szCs w:val="21"/>
        </w:rPr>
      </w:pPr>
      <w:r>
        <w:rPr>
          <w:color w:val="auto"/>
          <w:szCs w:val="21"/>
        </w:rPr>
        <w:t>Case 2A-</w:t>
      </w:r>
      <w:r>
        <w:rPr>
          <w:rFonts w:eastAsia="宋体"/>
          <w:color w:val="auto"/>
          <w:szCs w:val="21"/>
        </w:rPr>
        <w:t>1</w:t>
      </w:r>
      <w:r>
        <w:rPr>
          <w:color w:val="auto"/>
          <w:szCs w:val="21"/>
        </w:rPr>
        <w:t>: NW-side decoder training based on Dataset A</w:t>
      </w:r>
    </w:p>
    <w:p>
      <w:pPr>
        <w:pStyle w:val="113"/>
        <w:numPr>
          <w:ilvl w:val="0"/>
          <w:numId w:val="22"/>
        </w:numPr>
        <w:snapToGrid w:val="0"/>
        <w:spacing w:before="72" w:beforeLines="30" w:after="72" w:afterLines="30" w:line="288" w:lineRule="auto"/>
        <w:ind w:left="840" w:firstLineChars="0"/>
        <w:rPr>
          <w:color w:val="auto"/>
          <w:szCs w:val="21"/>
        </w:rPr>
      </w:pPr>
      <w:r>
        <w:rPr>
          <w:color w:val="auto"/>
          <w:szCs w:val="21"/>
        </w:rPr>
        <w:t>Case 2A-</w:t>
      </w:r>
      <w:r>
        <w:rPr>
          <w:rFonts w:eastAsia="宋体"/>
          <w:color w:val="auto"/>
          <w:szCs w:val="21"/>
        </w:rPr>
        <w:t>2</w:t>
      </w:r>
      <w:r>
        <w:rPr>
          <w:color w:val="auto"/>
          <w:szCs w:val="21"/>
        </w:rPr>
        <w:t>: NW-side decoder training based on Dataset B</w:t>
      </w:r>
    </w:p>
    <w:p>
      <w:pPr>
        <w:pStyle w:val="113"/>
        <w:numPr>
          <w:ilvl w:val="0"/>
          <w:numId w:val="22"/>
        </w:numPr>
        <w:snapToGrid w:val="0"/>
        <w:spacing w:before="72" w:beforeLines="30" w:after="72" w:afterLines="30" w:line="288" w:lineRule="auto"/>
        <w:ind w:left="840" w:firstLineChars="0"/>
        <w:rPr>
          <w:color w:val="auto"/>
          <w:szCs w:val="21"/>
        </w:rPr>
      </w:pPr>
      <w:r>
        <w:rPr>
          <w:color w:val="auto"/>
          <w:szCs w:val="21"/>
        </w:rPr>
        <w:t xml:space="preserve">Case 2A-3: NW-side decoder training based on </w:t>
      </w:r>
      <w:r>
        <w:rPr>
          <w:rFonts w:eastAsia="宋体"/>
          <w:color w:val="auto"/>
          <w:szCs w:val="21"/>
        </w:rPr>
        <w:t xml:space="preserve">mixed </w:t>
      </w:r>
      <w:r>
        <w:rPr>
          <w:color w:val="auto"/>
          <w:szCs w:val="21"/>
        </w:rPr>
        <w:t>Dataset</w:t>
      </w:r>
      <w:r>
        <w:rPr>
          <w:rFonts w:eastAsia="宋体"/>
          <w:color w:val="auto"/>
          <w:szCs w:val="21"/>
        </w:rPr>
        <w:t xml:space="preserve"> </w:t>
      </w:r>
      <w:r>
        <w:rPr>
          <w:color w:val="auto"/>
          <w:szCs w:val="21"/>
        </w:rPr>
        <w:t>(Dataset</w:t>
      </w:r>
      <w:r>
        <w:rPr>
          <w:rFonts w:eastAsia="宋体"/>
          <w:color w:val="auto"/>
          <w:szCs w:val="21"/>
        </w:rPr>
        <w:t xml:space="preserve"> A 0.5 </w:t>
      </w:r>
      <w:r>
        <w:rPr>
          <w:color w:val="auto"/>
          <w:szCs w:val="21"/>
        </w:rPr>
        <w:t>:</w:t>
      </w:r>
      <w:r>
        <w:rPr>
          <w:rFonts w:eastAsia="宋体"/>
          <w:color w:val="auto"/>
          <w:szCs w:val="21"/>
        </w:rPr>
        <w:t xml:space="preserve"> 0.5</w:t>
      </w:r>
      <w:r>
        <w:rPr>
          <w:color w:val="auto"/>
          <w:szCs w:val="21"/>
        </w:rPr>
        <w:t xml:space="preserve"> mixed with Dataset B)</w:t>
      </w:r>
    </w:p>
    <w:p>
      <w:pPr>
        <w:pStyle w:val="113"/>
        <w:numPr>
          <w:ilvl w:val="0"/>
          <w:numId w:val="22"/>
        </w:numPr>
        <w:snapToGrid w:val="0"/>
        <w:spacing w:before="72" w:beforeLines="30" w:after="72" w:afterLines="30" w:line="288" w:lineRule="auto"/>
        <w:ind w:left="840" w:firstLineChars="0"/>
        <w:rPr>
          <w:color w:val="auto"/>
          <w:szCs w:val="21"/>
        </w:rPr>
      </w:pPr>
      <w:r>
        <w:rPr>
          <w:color w:val="auto"/>
          <w:szCs w:val="21"/>
        </w:rPr>
        <w:t xml:space="preserve">Case 2A-4: NW-side decoder training based on </w:t>
      </w:r>
      <w:r>
        <w:rPr>
          <w:rFonts w:eastAsia="宋体"/>
          <w:color w:val="auto"/>
          <w:szCs w:val="21"/>
        </w:rPr>
        <w:t xml:space="preserve">mixed </w:t>
      </w:r>
      <w:r>
        <w:rPr>
          <w:color w:val="auto"/>
          <w:szCs w:val="21"/>
        </w:rPr>
        <w:t>Dataset (Dataset</w:t>
      </w:r>
      <w:r>
        <w:rPr>
          <w:rFonts w:eastAsia="宋体"/>
          <w:color w:val="auto"/>
          <w:szCs w:val="21"/>
        </w:rPr>
        <w:t xml:space="preserve"> A 0.</w:t>
      </w:r>
      <w:r>
        <w:rPr>
          <w:color w:val="auto"/>
          <w:szCs w:val="21"/>
        </w:rPr>
        <w:t>8</w:t>
      </w:r>
      <w:r>
        <w:rPr>
          <w:rFonts w:eastAsia="宋体"/>
          <w:color w:val="auto"/>
          <w:szCs w:val="21"/>
        </w:rPr>
        <w:t xml:space="preserve"> </w:t>
      </w:r>
      <w:r>
        <w:rPr>
          <w:color w:val="auto"/>
          <w:szCs w:val="21"/>
        </w:rPr>
        <w:t>:</w:t>
      </w:r>
      <w:r>
        <w:rPr>
          <w:rFonts w:eastAsia="宋体"/>
          <w:color w:val="auto"/>
          <w:szCs w:val="21"/>
        </w:rPr>
        <w:t xml:space="preserve"> 0.</w:t>
      </w:r>
      <w:r>
        <w:rPr>
          <w:color w:val="auto"/>
          <w:szCs w:val="21"/>
        </w:rPr>
        <w:t>2 mixed with Dataset B)</w:t>
      </w:r>
    </w:p>
    <w:p>
      <w:pPr>
        <w:pStyle w:val="113"/>
        <w:numPr>
          <w:ilvl w:val="0"/>
          <w:numId w:val="22"/>
        </w:numPr>
        <w:snapToGrid w:val="0"/>
        <w:spacing w:before="72" w:beforeLines="30" w:after="72" w:afterLines="30" w:line="288" w:lineRule="auto"/>
        <w:ind w:left="840" w:firstLineChars="0"/>
        <w:rPr>
          <w:color w:val="auto"/>
          <w:szCs w:val="21"/>
        </w:rPr>
      </w:pPr>
      <w:r>
        <w:rPr>
          <w:color w:val="auto"/>
          <w:szCs w:val="21"/>
        </w:rPr>
        <w:t xml:space="preserve">Case 2A-5: NW-side decoder training based on </w:t>
      </w:r>
      <w:r>
        <w:rPr>
          <w:rFonts w:eastAsia="宋体"/>
          <w:color w:val="auto"/>
          <w:szCs w:val="21"/>
        </w:rPr>
        <w:t xml:space="preserve">mixed </w:t>
      </w:r>
      <w:r>
        <w:rPr>
          <w:color w:val="auto"/>
          <w:szCs w:val="21"/>
        </w:rPr>
        <w:t>Dataset (Dataset</w:t>
      </w:r>
      <w:r>
        <w:rPr>
          <w:rFonts w:eastAsia="宋体"/>
          <w:color w:val="auto"/>
          <w:szCs w:val="21"/>
        </w:rPr>
        <w:t xml:space="preserve"> A 0.</w:t>
      </w:r>
      <w:r>
        <w:rPr>
          <w:color w:val="auto"/>
          <w:szCs w:val="21"/>
        </w:rPr>
        <w:t>9</w:t>
      </w:r>
      <w:r>
        <w:rPr>
          <w:rFonts w:eastAsia="宋体"/>
          <w:color w:val="auto"/>
          <w:szCs w:val="21"/>
        </w:rPr>
        <w:t xml:space="preserve"> </w:t>
      </w:r>
      <w:r>
        <w:rPr>
          <w:color w:val="auto"/>
          <w:szCs w:val="21"/>
        </w:rPr>
        <w:t>:</w:t>
      </w:r>
      <w:r>
        <w:rPr>
          <w:rFonts w:eastAsia="宋体"/>
          <w:color w:val="auto"/>
          <w:szCs w:val="21"/>
        </w:rPr>
        <w:t xml:space="preserve"> 0.</w:t>
      </w:r>
      <w:r>
        <w:rPr>
          <w:color w:val="auto"/>
          <w:szCs w:val="21"/>
        </w:rPr>
        <w:t>1 mixed with Dataset B)</w:t>
      </w:r>
    </w:p>
    <w:p>
      <w:pPr>
        <w:widowControl w:val="0"/>
        <w:numPr>
          <w:ilvl w:val="0"/>
          <w:numId w:val="19"/>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Preliminary simulation results for sub-option 1-1 with standardized reference encoder are shown in the following table. According to comparisons between Case 1, Case 2, and Case 2A, it can be observed that there is -3.31% performance loss for layer 1 SGCS due to the data distribution mismatch between synthetic data and field data. The loss would be even higher if the data distribution mismatch between NW-side field data and UE-side field data is considered. Nevertheless, if the NW side is able to train the decoder by dataset mixed from Dataset A and Dataset B (e.g., by timely data collection), the performance loss can be greatly relieved as shown by simulation cases 2A-3/4/5.</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cBorders>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Simulation cases</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SGCS gain for layer 1</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SGCS gain for layer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1</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0%</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2</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-3.31%</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2A-1</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-4.32%</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2A-2</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-1.95%</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2A-3</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-2.10%</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2A-4</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-2.47%</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Case 2A-5</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-2.71%</w:t>
            </w:r>
          </w:p>
        </w:tc>
        <w:tc>
          <w:tcPr>
            <w:tcW w:w="0" w:type="auto"/>
            <w:vAlign w:val="center"/>
          </w:tcPr>
          <w:p>
            <w:pPr>
              <w:widowControl w:val="0"/>
              <w:snapToGrid w:val="0"/>
              <w:spacing w:before="72" w:beforeLines="30" w:after="72" w:afterLines="30" w:line="288" w:lineRule="auto"/>
              <w:jc w:val="center"/>
              <w:rPr>
                <w:rFonts w:eastAsia="等线"/>
                <w:color w:val="auto"/>
                <w:szCs w:val="20"/>
              </w:rPr>
            </w:pPr>
            <w:r>
              <w:rPr>
                <w:rFonts w:eastAsia="等线"/>
                <w:color w:val="auto"/>
                <w:szCs w:val="20"/>
              </w:rPr>
              <w:t>-3.29%</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8</w:t>
      </w:r>
      <w:r>
        <w:rPr>
          <w:rFonts w:eastAsiaTheme="minorEastAsia"/>
          <w:b/>
          <w:i/>
          <w:color w:val="auto"/>
        </w:rPr>
        <w:t>:</w:t>
      </w:r>
      <w:r>
        <w:rPr>
          <w:rFonts w:hint="eastAsia" w:eastAsiaTheme="minorEastAsia"/>
          <w:bCs/>
          <w:i/>
          <w:color w:val="auto"/>
        </w:rPr>
        <w:t xml:space="preserve"> For Direction C, the data distribution mismatch between synthetic and field data</w:t>
      </w:r>
      <w:r>
        <w:rPr>
          <w:rFonts w:eastAsiaTheme="minorEastAsia"/>
          <w:bCs/>
          <w:i/>
          <w:color w:val="auto"/>
        </w:rPr>
        <w:t xml:space="preserve"> </w:t>
      </w:r>
      <w:r>
        <w:rPr>
          <w:rFonts w:hint="eastAsia" w:eastAsiaTheme="minorEastAsia"/>
          <w:bCs/>
          <w:i/>
          <w:color w:val="auto"/>
        </w:rPr>
        <w:t xml:space="preserve">causes </w:t>
      </w:r>
      <w:r>
        <w:rPr>
          <w:rFonts w:eastAsiaTheme="minorEastAsia"/>
          <w:bCs/>
          <w:i/>
          <w:color w:val="auto"/>
        </w:rPr>
        <w:t>limited performance impact</w:t>
      </w:r>
      <w:r>
        <w:rPr>
          <w:rFonts w:hint="eastAsia" w:eastAsiaTheme="minorEastAsia"/>
          <w:bCs/>
          <w:i/>
          <w:color w:val="auto"/>
        </w:rPr>
        <w:t xml:space="preserve">, i.e., </w:t>
      </w:r>
      <w:r>
        <w:rPr>
          <w:rFonts w:eastAsiaTheme="minorEastAsia"/>
          <w:bCs/>
          <w:i/>
          <w:color w:val="auto"/>
        </w:rPr>
        <w:t>-3.31%</w:t>
      </w:r>
      <w:r>
        <w:rPr>
          <w:rFonts w:hint="eastAsia" w:eastAsiaTheme="minorEastAsia"/>
          <w:bCs/>
          <w:i/>
          <w:color w:val="auto"/>
        </w:rPr>
        <w:t xml:space="preserve"> SGCS loss for layer 1 and </w:t>
      </w:r>
      <w:r>
        <w:rPr>
          <w:rFonts w:eastAsiaTheme="minorEastAsia"/>
          <w:bCs/>
          <w:i/>
          <w:color w:val="auto"/>
        </w:rPr>
        <w:t>-4.08%</w:t>
      </w:r>
      <w:r>
        <w:rPr>
          <w:rFonts w:hint="eastAsia" w:eastAsiaTheme="minorEastAsia"/>
          <w:bCs/>
          <w:i/>
          <w:color w:val="auto"/>
        </w:rPr>
        <w:t xml:space="preserve"> SGCS loss for layer </w:t>
      </w:r>
      <w:r>
        <w:rPr>
          <w:rFonts w:eastAsiaTheme="minorEastAsia"/>
          <w:bCs/>
          <w:i/>
          <w:color w:val="auto"/>
        </w:rPr>
        <w:t>2</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9</w:t>
      </w:r>
      <w:r>
        <w:rPr>
          <w:rFonts w:eastAsiaTheme="minorEastAsia"/>
          <w:b/>
          <w:i/>
          <w:color w:val="auto"/>
        </w:rPr>
        <w:t>:</w:t>
      </w:r>
      <w:r>
        <w:rPr>
          <w:rFonts w:hint="eastAsia" w:eastAsiaTheme="minorEastAsia"/>
          <w:b/>
          <w:i/>
          <w:color w:val="auto"/>
        </w:rPr>
        <w:t xml:space="preserve"> </w:t>
      </w:r>
      <w:r>
        <w:rPr>
          <w:rFonts w:hint="eastAsia" w:eastAsiaTheme="minorEastAsia"/>
          <w:bCs/>
          <w:i/>
          <w:color w:val="auto"/>
        </w:rPr>
        <w:t xml:space="preserve">For Direction C, data distribution mismatch between NW-side field data and UE-side field data with respect to UE-side additional condition (i.e., </w:t>
      </w:r>
      <w:r>
        <w:rPr>
          <w:rFonts w:eastAsiaTheme="minorEastAsia"/>
          <w:bCs/>
          <w:i/>
          <w:color w:val="auto"/>
        </w:rPr>
        <w:t>phase normalization</w:t>
      </w:r>
      <w:r>
        <w:rPr>
          <w:rFonts w:hint="eastAsia" w:eastAsiaTheme="minorEastAsia"/>
          <w:bCs/>
          <w:i/>
          <w:color w:val="auto"/>
        </w:rPr>
        <w:t>) causes minor SGCS performance loss.</w:t>
      </w:r>
    </w:p>
    <w:p>
      <w:pPr>
        <w:overflowPunct w:val="0"/>
        <w:snapToGrid w:val="0"/>
        <w:spacing w:before="72" w:beforeLines="30" w:after="72" w:afterLines="30" w:line="288" w:lineRule="auto"/>
        <w:jc w:val="both"/>
        <w:rPr>
          <w:rFonts w:eastAsiaTheme="minorEastAsia"/>
          <w:i/>
          <w:color w:val="auto"/>
        </w:rPr>
      </w:pPr>
      <w:r>
        <w:rPr>
          <w:rFonts w:eastAsiaTheme="minorEastAsia"/>
          <w:b/>
          <w:i/>
          <w:color w:val="auto"/>
        </w:rPr>
        <w:t xml:space="preserve">Observation </w:t>
      </w:r>
      <w:r>
        <w:rPr>
          <w:rFonts w:hint="eastAsia" w:eastAsiaTheme="minorEastAsia"/>
          <w:b/>
          <w:i/>
          <w:color w:val="auto"/>
          <w:lang w:val="en-US" w:eastAsia="zh-CN"/>
        </w:rPr>
        <w:t>10</w:t>
      </w:r>
      <w:r>
        <w:rPr>
          <w:rFonts w:eastAsiaTheme="minorEastAsia"/>
          <w:b/>
          <w:i/>
          <w:color w:val="auto"/>
        </w:rPr>
        <w:t>:</w:t>
      </w:r>
      <w:r>
        <w:rPr>
          <w:rFonts w:hint="eastAsia" w:eastAsiaTheme="minorEastAsia"/>
          <w:b/>
          <w:i/>
          <w:color w:val="auto"/>
        </w:rPr>
        <w:t xml:space="preserve"> </w:t>
      </w:r>
      <w:r>
        <w:rPr>
          <w:rFonts w:hint="eastAsia" w:eastAsiaTheme="minorEastAsia"/>
          <w:bCs/>
          <w:i/>
          <w:color w:val="auto"/>
        </w:rPr>
        <w:t xml:space="preserve">For Direction C, if the NW-side decoder is trained by mixed dataset from NW-side field data and UE-side field data, the performance loss caused by data distribution mismatch is greatly </w:t>
      </w:r>
      <w:r>
        <w:rPr>
          <w:rFonts w:eastAsiaTheme="minorEastAsia"/>
          <w:bCs/>
          <w:i/>
          <w:color w:val="auto"/>
        </w:rPr>
        <w:t>alleviated</w:t>
      </w:r>
      <w:r>
        <w:rPr>
          <w:rFonts w:hint="eastAsia" w:eastAsiaTheme="minorEastAsia"/>
          <w:bCs/>
          <w:i/>
          <w:color w:val="auto"/>
        </w:rPr>
        <w:t>.</w:t>
      </w:r>
      <w:r>
        <w:rPr>
          <w:rFonts w:eastAsiaTheme="minorEastAsia"/>
          <w:bCs/>
          <w:i/>
          <w:color w:val="auto"/>
        </w:rPr>
        <w:t xml:space="preserve"> </w:t>
      </w:r>
    </w:p>
    <w:p>
      <w:pPr>
        <w:tabs>
          <w:tab w:val="left" w:pos="432"/>
        </w:tabs>
        <w:snapToGrid w:val="0"/>
        <w:spacing w:before="72" w:beforeLines="30" w:after="72" w:afterLines="30" w:line="288" w:lineRule="auto"/>
        <w:jc w:val="both"/>
        <w:rPr>
          <w:i/>
          <w:color w:val="auto"/>
        </w:rPr>
      </w:pPr>
      <w:bookmarkStart w:id="12" w:name="_Hlk162705016"/>
      <w:bookmarkStart w:id="13" w:name="_Hlk166145881"/>
      <w:bookmarkStart w:id="14" w:name="_Hlk158196058"/>
    </w:p>
    <w:bookmarkEnd w:id="12"/>
    <w:bookmarkEnd w:id="13"/>
    <w:p>
      <w:pPr>
        <w:numPr>
          <w:ilvl w:val="0"/>
          <w:numId w:val="10"/>
        </w:numPr>
        <w:pBdr>
          <w:top w:val="single" w:color="auto" w:sz="8" w:space="1"/>
        </w:pBdr>
        <w:tabs>
          <w:tab w:val="left" w:pos="576"/>
        </w:tabs>
        <w:snapToGrid w:val="0"/>
        <w:spacing w:before="72" w:beforeLines="30" w:after="72" w:afterLines="30" w:line="288" w:lineRule="auto"/>
        <w:jc w:val="both"/>
        <w:outlineLvl w:val="0"/>
        <w:rPr>
          <w:rFonts w:hint="eastAsia" w:eastAsia="宋体"/>
          <w:b/>
          <w:color w:val="auto"/>
          <w:sz w:val="28"/>
          <w:szCs w:val="28"/>
        </w:rPr>
      </w:pPr>
      <w:r>
        <w:rPr>
          <w:rFonts w:hint="eastAsia" w:eastAsia="宋体"/>
          <w:b/>
          <w:color w:val="auto"/>
          <w:sz w:val="28"/>
          <w:szCs w:val="28"/>
        </w:rPr>
        <w:t>Remaining issues for AI/ML CSI compression</w:t>
      </w:r>
    </w:p>
    <w:bookmarkEnd w:id="14"/>
    <w:p>
      <w:pPr>
        <w:numPr>
          <w:ilvl w:val="1"/>
          <w:numId w:val="10"/>
        </w:numPr>
        <w:adjustRightInd w:val="0"/>
        <w:snapToGrid w:val="0"/>
        <w:spacing w:before="72" w:beforeLines="30" w:after="72" w:afterLines="30" w:line="288" w:lineRule="auto"/>
        <w:jc w:val="both"/>
        <w:outlineLvl w:val="1"/>
        <w:rPr>
          <w:rFonts w:hint="eastAsia"/>
          <w:b/>
          <w:color w:val="auto"/>
          <w:sz w:val="22"/>
        </w:rPr>
      </w:pPr>
      <w:r>
        <w:rPr>
          <w:rFonts w:hint="eastAsia"/>
          <w:b/>
          <w:color w:val="auto"/>
          <w:sz w:val="22"/>
        </w:rPr>
        <w:t>Data collection</w:t>
      </w:r>
    </w:p>
    <w:p>
      <w:pPr>
        <w:adjustRightInd w:val="0"/>
        <w:snapToGrid w:val="0"/>
        <w:spacing w:before="72" w:beforeLines="30" w:after="72" w:afterLines="30" w:line="288" w:lineRule="auto"/>
        <w:jc w:val="both"/>
        <w:rPr>
          <w:color w:val="auto"/>
        </w:rPr>
      </w:pPr>
      <w:r>
        <w:rPr>
          <w:color w:val="auto"/>
        </w:rPr>
        <w:t xml:space="preserve">During the Rel-18 study for data collection, UE-side data collection and NW-side data collection were separately discussed and reached some agreements as follow.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Pr>
          <w:p>
            <w:pPr>
              <w:numPr>
                <w:ilvl w:val="0"/>
                <w:numId w:val="23"/>
              </w:numPr>
              <w:snapToGrid w:val="0"/>
              <w:spacing w:before="30" w:after="30" w:line="288" w:lineRule="auto"/>
              <w:rPr>
                <w:rFonts w:eastAsia="宋体"/>
                <w:b/>
                <w:bCs/>
                <w:i/>
                <w:iCs/>
                <w:color w:val="auto"/>
                <w:szCs w:val="20"/>
                <w:lang w:bidi="ar"/>
              </w:rPr>
            </w:pPr>
            <w:r>
              <w:rPr>
                <w:rFonts w:eastAsia="宋体"/>
                <w:b/>
                <w:bCs/>
                <w:i/>
                <w:iCs/>
                <w:color w:val="auto"/>
                <w:szCs w:val="20"/>
                <w:lang w:bidi="ar"/>
              </w:rPr>
              <w:t>Agreement in RAN1#112</w:t>
            </w:r>
          </w:p>
          <w:p>
            <w:pPr>
              <w:adjustRightInd w:val="0"/>
              <w:snapToGrid w:val="0"/>
              <w:spacing w:before="30" w:after="30" w:line="288" w:lineRule="auto"/>
              <w:jc w:val="both"/>
              <w:rPr>
                <w:b/>
                <w:color w:val="auto"/>
                <w:u w:val="single"/>
              </w:rPr>
            </w:pPr>
            <w:r>
              <w:rPr>
                <w:b/>
                <w:color w:val="auto"/>
                <w:u w:val="single"/>
              </w:rPr>
              <w:t>Agreement:</w:t>
            </w:r>
          </w:p>
          <w:p>
            <w:pPr>
              <w:tabs>
                <w:tab w:val="left" w:pos="720"/>
              </w:tabs>
              <w:snapToGrid w:val="0"/>
              <w:spacing w:before="30" w:after="30" w:line="288" w:lineRule="auto"/>
              <w:jc w:val="both"/>
              <w:rPr>
                <w:color w:val="auto"/>
              </w:rPr>
            </w:pPr>
            <w:r>
              <w:rPr>
                <w:color w:val="auto"/>
              </w:rPr>
              <w:t xml:space="preserve">In CSI compression using two-sided model use case, further study the necessity, feasibility, and potential specification impact of UE side data collection enhancement including at least  </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Enhancement of CSI-RS configuration to enable higher accuracy measurement.</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Assistance information for UE data collection for categorizing the data in forms of ID for the purpose of differentiating characteristics of data due to specific configuration, scenarios, site etc.</w:t>
            </w:r>
          </w:p>
          <w:p>
            <w:pPr>
              <w:numPr>
                <w:ilvl w:val="1"/>
                <w:numId w:val="24"/>
              </w:numPr>
              <w:tabs>
                <w:tab w:val="left" w:pos="1440"/>
              </w:tabs>
              <w:overflowPunct w:val="0"/>
              <w:autoSpaceDE w:val="0"/>
              <w:autoSpaceDN w:val="0"/>
              <w:adjustRightInd w:val="0"/>
              <w:snapToGrid w:val="0"/>
              <w:spacing w:before="30" w:after="30" w:line="288" w:lineRule="auto"/>
              <w:jc w:val="both"/>
              <w:textAlignment w:val="baseline"/>
              <w:rPr>
                <w:color w:val="auto"/>
              </w:rPr>
            </w:pPr>
            <w:r>
              <w:rPr>
                <w:color w:val="auto"/>
              </w:rPr>
              <w:t>The provision of assistance information needs to consider feasibility of disclosing proprietary information to the other side.</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Signaling for triggering the data collection</w:t>
            </w:r>
          </w:p>
          <w:p>
            <w:pPr>
              <w:tabs>
                <w:tab w:val="left" w:pos="720"/>
              </w:tabs>
              <w:snapToGrid w:val="0"/>
              <w:spacing w:before="30" w:after="30" w:line="288" w:lineRule="auto"/>
              <w:jc w:val="both"/>
              <w:rPr>
                <w:color w:val="auto"/>
              </w:rPr>
            </w:pPr>
            <w:r>
              <w:rPr>
                <w:color w:val="auto"/>
              </w:rPr>
              <w:t xml:space="preserve">In CSI compression using two-sided model use case, further discuss the necessity, feasibility, and potential specification impact for NW side data collection including at least:   </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 xml:space="preserve">Enhancement of SRS and/or CSI-RS measurement and/or CSI reporting to enable higher accuracy measurement. </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 xml:space="preserve">Contents of the ground-truth CSI including:  </w:t>
            </w:r>
          </w:p>
          <w:p>
            <w:pPr>
              <w:numPr>
                <w:ilvl w:val="1"/>
                <w:numId w:val="24"/>
              </w:numPr>
              <w:tabs>
                <w:tab w:val="left" w:pos="1440"/>
              </w:tabs>
              <w:overflowPunct w:val="0"/>
              <w:autoSpaceDE w:val="0"/>
              <w:autoSpaceDN w:val="0"/>
              <w:adjustRightInd w:val="0"/>
              <w:snapToGrid w:val="0"/>
              <w:spacing w:before="30" w:after="30" w:line="288" w:lineRule="auto"/>
              <w:jc w:val="both"/>
              <w:textAlignment w:val="baseline"/>
              <w:rPr>
                <w:color w:val="auto"/>
              </w:rPr>
            </w:pPr>
            <w:r>
              <w:rPr>
                <w:color w:val="auto"/>
              </w:rPr>
              <w:t>Data sample type, e.g., precoding matrix, channel matrix etc.</w:t>
            </w:r>
          </w:p>
          <w:p>
            <w:pPr>
              <w:numPr>
                <w:ilvl w:val="1"/>
                <w:numId w:val="24"/>
              </w:numPr>
              <w:tabs>
                <w:tab w:val="left" w:pos="1440"/>
              </w:tabs>
              <w:overflowPunct w:val="0"/>
              <w:autoSpaceDE w:val="0"/>
              <w:autoSpaceDN w:val="0"/>
              <w:adjustRightInd w:val="0"/>
              <w:snapToGrid w:val="0"/>
              <w:spacing w:before="30" w:after="30" w:line="288" w:lineRule="auto"/>
              <w:jc w:val="both"/>
              <w:textAlignment w:val="baseline"/>
              <w:rPr>
                <w:color w:val="auto"/>
              </w:rPr>
            </w:pPr>
            <w:r>
              <w:rPr>
                <w:color w:val="auto"/>
              </w:rPr>
              <w:t xml:space="preserve">Data sample format: scaler quantization and/or codebook-based quantization (e.g., e-type II like). </w:t>
            </w:r>
          </w:p>
          <w:p>
            <w:pPr>
              <w:numPr>
                <w:ilvl w:val="1"/>
                <w:numId w:val="24"/>
              </w:numPr>
              <w:tabs>
                <w:tab w:val="left" w:pos="1440"/>
              </w:tabs>
              <w:overflowPunct w:val="0"/>
              <w:autoSpaceDE w:val="0"/>
              <w:autoSpaceDN w:val="0"/>
              <w:adjustRightInd w:val="0"/>
              <w:snapToGrid w:val="0"/>
              <w:spacing w:before="30" w:after="30" w:line="288" w:lineRule="auto"/>
              <w:jc w:val="both"/>
              <w:textAlignment w:val="baseline"/>
              <w:rPr>
                <w:color w:val="auto"/>
              </w:rPr>
            </w:pPr>
            <w:r>
              <w:rPr>
                <w:color w:val="auto"/>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Latency requirement for data collection</w:t>
            </w:r>
          </w:p>
          <w:p>
            <w:pPr>
              <w:numPr>
                <w:ilvl w:val="0"/>
                <w:numId w:val="24"/>
              </w:numPr>
              <w:tabs>
                <w:tab w:val="left" w:pos="720"/>
              </w:tabs>
              <w:overflowPunct w:val="0"/>
              <w:autoSpaceDE w:val="0"/>
              <w:autoSpaceDN w:val="0"/>
              <w:adjustRightInd w:val="0"/>
              <w:snapToGrid w:val="0"/>
              <w:spacing w:before="30" w:after="30" w:line="288" w:lineRule="auto"/>
              <w:jc w:val="both"/>
              <w:textAlignment w:val="baseline"/>
              <w:rPr>
                <w:color w:val="auto"/>
              </w:rPr>
            </w:pPr>
            <w:r>
              <w:rPr>
                <w:color w:val="auto"/>
              </w:rPr>
              <w:t>Signaling for triggering the data collection</w:t>
            </w:r>
          </w:p>
          <w:p>
            <w:pPr>
              <w:numPr>
                <w:ilvl w:val="0"/>
                <w:numId w:val="23"/>
              </w:numPr>
              <w:snapToGrid w:val="0"/>
              <w:spacing w:before="30" w:after="30" w:line="288" w:lineRule="auto"/>
              <w:rPr>
                <w:rFonts w:eastAsia="宋体"/>
                <w:b/>
                <w:bCs/>
                <w:i/>
                <w:iCs/>
                <w:color w:val="auto"/>
                <w:szCs w:val="20"/>
                <w:lang w:bidi="ar"/>
              </w:rPr>
            </w:pPr>
            <w:r>
              <w:rPr>
                <w:rFonts w:eastAsia="宋体"/>
                <w:b/>
                <w:bCs/>
                <w:i/>
                <w:iCs/>
                <w:color w:val="auto"/>
                <w:szCs w:val="20"/>
                <w:lang w:bidi="ar"/>
              </w:rPr>
              <w:t>Agreement in RAN1#113</w:t>
            </w:r>
          </w:p>
          <w:p>
            <w:pPr>
              <w:adjustRightInd w:val="0"/>
              <w:snapToGrid w:val="0"/>
              <w:spacing w:before="30" w:after="30" w:line="288" w:lineRule="auto"/>
              <w:jc w:val="both"/>
              <w:rPr>
                <w:b/>
                <w:color w:val="auto"/>
                <w:u w:val="single"/>
              </w:rPr>
            </w:pPr>
            <w:r>
              <w:rPr>
                <w:b/>
                <w:color w:val="auto"/>
                <w:u w:val="single"/>
              </w:rPr>
              <w:t>Agreement:</w:t>
            </w:r>
          </w:p>
          <w:p>
            <w:pPr>
              <w:snapToGrid w:val="0"/>
              <w:spacing w:before="30" w:after="30" w:line="288" w:lineRule="auto"/>
              <w:jc w:val="both"/>
              <w:rPr>
                <w:color w:val="auto"/>
              </w:rPr>
            </w:pPr>
            <w:r>
              <w:rPr>
                <w:color w:val="auto"/>
              </w:rPr>
              <w:t>In CSI compression using two-sided model use case, further study the necessity and potential specification impact of the following aspects related to the ground truth CSI format for NW side data collection for model training:   </w:t>
            </w:r>
          </w:p>
          <w:p>
            <w:pPr>
              <w:numPr>
                <w:ilvl w:val="0"/>
                <w:numId w:val="25"/>
              </w:numPr>
              <w:snapToGrid w:val="0"/>
              <w:spacing w:before="30" w:after="30" w:line="288" w:lineRule="auto"/>
              <w:ind w:left="210" w:leftChars="105"/>
              <w:jc w:val="both"/>
              <w:rPr>
                <w:color w:val="auto"/>
              </w:rPr>
            </w:pPr>
            <w:r>
              <w:rPr>
                <w:color w:val="auto"/>
              </w:rPr>
              <w:t>Scalar quantization for ground-truth CSI</w:t>
            </w:r>
          </w:p>
          <w:p>
            <w:pPr>
              <w:numPr>
                <w:ilvl w:val="1"/>
                <w:numId w:val="25"/>
              </w:numPr>
              <w:snapToGrid w:val="0"/>
              <w:spacing w:before="30" w:after="30" w:line="288" w:lineRule="auto"/>
              <w:ind w:left="1440"/>
              <w:jc w:val="both"/>
              <w:rPr>
                <w:color w:val="auto"/>
              </w:rPr>
            </w:pPr>
            <w:r>
              <w:rPr>
                <w:color w:val="auto"/>
              </w:rPr>
              <w:t>FFS: any processing applied to the ground-truth CSI before scalar quantization, based on evaluation results in 9.2.2.1</w:t>
            </w:r>
          </w:p>
          <w:p>
            <w:pPr>
              <w:numPr>
                <w:ilvl w:val="0"/>
                <w:numId w:val="25"/>
              </w:numPr>
              <w:snapToGrid w:val="0"/>
              <w:spacing w:before="30" w:after="30" w:line="288" w:lineRule="auto"/>
              <w:ind w:left="210" w:leftChars="105"/>
              <w:jc w:val="both"/>
              <w:rPr>
                <w:color w:val="auto"/>
              </w:rPr>
            </w:pPr>
            <w:r>
              <w:rPr>
                <w:color w:val="auto"/>
              </w:rPr>
              <w:t>Codebook-based quantization for ground-truth CSI</w:t>
            </w:r>
          </w:p>
          <w:p>
            <w:pPr>
              <w:numPr>
                <w:ilvl w:val="1"/>
                <w:numId w:val="25"/>
              </w:numPr>
              <w:snapToGrid w:val="0"/>
              <w:spacing w:before="30" w:after="30" w:line="288" w:lineRule="auto"/>
              <w:ind w:left="1440"/>
              <w:jc w:val="both"/>
              <w:rPr>
                <w:color w:val="auto"/>
              </w:rPr>
            </w:pPr>
            <w:r>
              <w:rPr>
                <w:color w:val="auto"/>
              </w:rPr>
              <w:t>FFS: Parameter set enhancement of existing eType II codebook, based on evaluation results in 9.2.2.1</w:t>
            </w:r>
          </w:p>
          <w:p>
            <w:pPr>
              <w:numPr>
                <w:ilvl w:val="0"/>
                <w:numId w:val="25"/>
              </w:numPr>
              <w:snapToGrid w:val="0"/>
              <w:spacing w:before="30" w:after="30" w:line="288" w:lineRule="auto"/>
              <w:ind w:left="210" w:leftChars="105"/>
              <w:jc w:val="both"/>
              <w:rPr>
                <w:color w:val="auto"/>
              </w:rPr>
            </w:pPr>
            <w:r>
              <w:rPr>
                <w:color w:val="auto"/>
              </w:rPr>
              <w:t>Number of layers for which the ground truth data is collected. And whether UE or NW determine the number of layers for ground-truth CSI data collection.</w:t>
            </w:r>
          </w:p>
          <w:p>
            <w:pPr>
              <w:numPr>
                <w:ilvl w:val="0"/>
                <w:numId w:val="23"/>
              </w:numPr>
              <w:snapToGrid w:val="0"/>
              <w:spacing w:before="30" w:after="30" w:line="288" w:lineRule="auto"/>
              <w:rPr>
                <w:rFonts w:eastAsia="宋体"/>
                <w:b/>
                <w:bCs/>
                <w:i/>
                <w:iCs/>
                <w:color w:val="auto"/>
                <w:szCs w:val="20"/>
                <w:lang w:bidi="ar"/>
              </w:rPr>
            </w:pPr>
            <w:r>
              <w:rPr>
                <w:rFonts w:eastAsia="宋体"/>
                <w:b/>
                <w:bCs/>
                <w:i/>
                <w:iCs/>
                <w:color w:val="auto"/>
                <w:szCs w:val="20"/>
                <w:lang w:bidi="ar"/>
              </w:rPr>
              <w:t>Agreement in RAN1#113</w:t>
            </w:r>
          </w:p>
          <w:p>
            <w:pPr>
              <w:adjustRightInd w:val="0"/>
              <w:snapToGrid w:val="0"/>
              <w:spacing w:before="30" w:after="30" w:line="288" w:lineRule="auto"/>
              <w:jc w:val="both"/>
              <w:rPr>
                <w:b/>
                <w:color w:val="auto"/>
                <w:u w:val="single"/>
              </w:rPr>
            </w:pPr>
            <w:r>
              <w:rPr>
                <w:b/>
                <w:color w:val="auto"/>
                <w:u w:val="single"/>
              </w:rPr>
              <w:t>Agreement:</w:t>
            </w:r>
          </w:p>
          <w:p>
            <w:pPr>
              <w:snapToGrid w:val="0"/>
              <w:spacing w:before="30" w:after="30" w:line="288" w:lineRule="auto"/>
              <w:jc w:val="both"/>
              <w:rPr>
                <w:color w:val="auto"/>
              </w:rPr>
            </w:pPr>
            <w:r>
              <w:rPr>
                <w:color w:val="auto"/>
              </w:rPr>
              <w:t xml:space="preserve">In CSI compression using two-sided model use case, further study the necessity, complexity, overhead, latency and potential specification impact on ground truth CSI report for NW side data collection for model performance monitoring, including:   </w:t>
            </w:r>
          </w:p>
          <w:p>
            <w:pPr>
              <w:numPr>
                <w:ilvl w:val="0"/>
                <w:numId w:val="26"/>
              </w:numPr>
              <w:snapToGrid w:val="0"/>
              <w:spacing w:before="30" w:after="30" w:line="288" w:lineRule="auto"/>
              <w:ind w:left="200" w:leftChars="100"/>
              <w:jc w:val="both"/>
              <w:rPr>
                <w:color w:val="auto"/>
              </w:rPr>
            </w:pPr>
            <w:r>
              <w:rPr>
                <w:color w:val="auto"/>
              </w:rPr>
              <w:t>Scalar quantization for ground-truth CSI</w:t>
            </w:r>
          </w:p>
          <w:p>
            <w:pPr>
              <w:numPr>
                <w:ilvl w:val="1"/>
                <w:numId w:val="27"/>
              </w:numPr>
              <w:snapToGrid w:val="0"/>
              <w:spacing w:before="30" w:after="30" w:line="288" w:lineRule="auto"/>
              <w:jc w:val="both"/>
              <w:rPr>
                <w:color w:val="auto"/>
              </w:rPr>
            </w:pPr>
            <w:r>
              <w:rPr>
                <w:color w:val="auto"/>
              </w:rPr>
              <w:t>FFS: any processing applied to the ground-truth CSI before scalar quantization</w:t>
            </w:r>
          </w:p>
          <w:p>
            <w:pPr>
              <w:numPr>
                <w:ilvl w:val="0"/>
                <w:numId w:val="26"/>
              </w:numPr>
              <w:snapToGrid w:val="0"/>
              <w:spacing w:before="30" w:after="30" w:line="288" w:lineRule="auto"/>
              <w:ind w:left="200" w:leftChars="100" w:right="200" w:rightChars="100"/>
              <w:jc w:val="both"/>
              <w:rPr>
                <w:color w:val="auto"/>
              </w:rPr>
            </w:pPr>
            <w:r>
              <w:rPr>
                <w:color w:val="auto"/>
              </w:rPr>
              <w:t>Codebook-based quantization for ground-truth CSI</w:t>
            </w:r>
          </w:p>
          <w:p>
            <w:pPr>
              <w:numPr>
                <w:ilvl w:val="1"/>
                <w:numId w:val="28"/>
              </w:numPr>
              <w:snapToGrid w:val="0"/>
              <w:spacing w:before="30" w:after="30" w:line="288" w:lineRule="auto"/>
              <w:jc w:val="both"/>
              <w:rPr>
                <w:color w:val="auto"/>
              </w:rPr>
            </w:pPr>
            <w:r>
              <w:rPr>
                <w:color w:val="auto"/>
              </w:rPr>
              <w:t>FFS: Parameter set enhancement of existing eType II codebook, based on evaluation results in 9.2.2.1</w:t>
            </w:r>
          </w:p>
          <w:p>
            <w:pPr>
              <w:numPr>
                <w:ilvl w:val="0"/>
                <w:numId w:val="26"/>
              </w:numPr>
              <w:snapToGrid w:val="0"/>
              <w:spacing w:before="30" w:after="30" w:line="288" w:lineRule="auto"/>
              <w:ind w:left="200" w:leftChars="100" w:right="200" w:rightChars="100"/>
              <w:jc w:val="both"/>
              <w:rPr>
                <w:color w:val="auto"/>
              </w:rPr>
            </w:pPr>
            <w:r>
              <w:rPr>
                <w:color w:val="auto"/>
              </w:rPr>
              <w:t>RRC signaling and/or L1 signaling procedure to enable fast identification of AI/ML model performance</w:t>
            </w:r>
          </w:p>
          <w:p>
            <w:pPr>
              <w:pStyle w:val="113"/>
              <w:numPr>
                <w:ilvl w:val="0"/>
                <w:numId w:val="29"/>
              </w:numPr>
              <w:snapToGrid w:val="0"/>
              <w:spacing w:before="30" w:after="30" w:line="288" w:lineRule="auto"/>
              <w:ind w:firstLineChars="0"/>
              <w:jc w:val="both"/>
              <w:rPr>
                <w:color w:val="auto"/>
              </w:rPr>
            </w:pPr>
            <w:r>
              <w:rPr>
                <w:color w:val="auto"/>
              </w:rPr>
              <w:t>Aperiodic/semi-persistent or periodic ground-truth CSI report.</w:t>
            </w:r>
          </w:p>
        </w:tc>
      </w:tr>
    </w:tbl>
    <w:p>
      <w:pPr>
        <w:numPr>
          <w:ilvl w:val="255"/>
          <w:numId w:val="0"/>
        </w:numPr>
        <w:adjustRightInd w:val="0"/>
        <w:snapToGrid w:val="0"/>
        <w:spacing w:before="72" w:beforeLines="30" w:after="72" w:afterLines="30" w:line="288" w:lineRule="auto"/>
        <w:jc w:val="both"/>
        <w:rPr>
          <w:rFonts w:eastAsiaTheme="minorEastAsia"/>
          <w:b/>
          <w:color w:val="auto"/>
          <w:u w:val="single"/>
        </w:rPr>
      </w:pPr>
      <w:r>
        <w:rPr>
          <w:rFonts w:eastAsiaTheme="minorEastAsia"/>
          <w:b/>
          <w:color w:val="auto"/>
          <w:u w:val="single"/>
        </w:rPr>
        <w:t>Network-side data collection</w:t>
      </w:r>
    </w:p>
    <w:p>
      <w:pPr>
        <w:numPr>
          <w:ilvl w:val="255"/>
          <w:numId w:val="0"/>
        </w:numPr>
        <w:adjustRightInd w:val="0"/>
        <w:snapToGrid w:val="0"/>
        <w:spacing w:before="72" w:beforeLines="30" w:after="72" w:afterLines="30" w:line="288" w:lineRule="auto"/>
        <w:jc w:val="both"/>
        <w:rPr>
          <w:color w:val="auto"/>
        </w:rPr>
      </w:pPr>
      <w:r>
        <w:rPr>
          <w:color w:val="auto"/>
        </w:rPr>
        <w:t xml:space="preserve">For network side data collection, UE is required to conduct measurements based on configured reference signals and then report the ground-truth CSI to the network for model training or performance monitoring. </w:t>
      </w:r>
      <w:r>
        <w:rPr>
          <w:rFonts w:eastAsia="宋体"/>
          <w:color w:val="auto"/>
        </w:rPr>
        <w:t>However</w:t>
      </w:r>
      <w:r>
        <w:rPr>
          <w:color w:val="auto"/>
        </w:rPr>
        <w:t xml:space="preserve">, the overhead of the ground-truth label transmitted over the air-interface is a huge concern if the ground-truth CSI is an ideal CSI (e.g., raw channels, eigenvectors). </w:t>
      </w:r>
      <w:r>
        <w:rPr>
          <w:rFonts w:eastAsia="宋体"/>
          <w:color w:val="auto"/>
        </w:rPr>
        <w:t>To address this issue</w:t>
      </w:r>
      <w:r>
        <w:rPr>
          <w:color w:val="auto"/>
        </w:rPr>
        <w:t xml:space="preserve">, one solution is to enhance legacy CSI to increase its reliability, e.g., higher resolution CSI based on legacy Rel-16 eType II codebook design. As </w:t>
      </w:r>
      <w:r>
        <w:rPr>
          <w:rFonts w:eastAsia="宋体"/>
          <w:color w:val="auto"/>
        </w:rPr>
        <w:t>observed in our simulation</w:t>
      </w:r>
      <w:r>
        <w:rPr>
          <w:color w:val="auto"/>
        </w:rPr>
        <w:t xml:space="preserve">, Rel-16 eType II CB with new parameters for one training sample only increases </w:t>
      </w:r>
      <w:r>
        <w:rPr>
          <w:rFonts w:eastAsia="宋体"/>
          <w:color w:val="auto"/>
        </w:rPr>
        <w:t xml:space="preserve">the overhead </w:t>
      </w:r>
      <w:r>
        <w:rPr>
          <w:color w:val="auto"/>
        </w:rPr>
        <w:t xml:space="preserve">by 50% compared </w:t>
      </w:r>
      <w:r>
        <w:rPr>
          <w:rFonts w:eastAsia="宋体"/>
          <w:color w:val="auto"/>
        </w:rPr>
        <w:t xml:space="preserve">to </w:t>
      </w:r>
      <w:r>
        <w:rPr>
          <w:color w:val="auto"/>
        </w:rPr>
        <w:t xml:space="preserve">Rel-16 eTypeII CB with the maximal payload (i.e., PC8) but keeps similar model performance as ideal CSI, which can be acceptable to be carried on UCI. </w:t>
      </w:r>
    </w:p>
    <w:p>
      <w:pPr>
        <w:pStyle w:val="147"/>
        <w:snapToGrid w:val="0"/>
        <w:spacing w:before="72" w:after="72"/>
        <w:jc w:val="both"/>
        <w:rPr>
          <w:b w:val="0"/>
          <w:color w:val="auto"/>
          <w:szCs w:val="20"/>
          <w:lang w:val="en-US"/>
        </w:rPr>
      </w:pPr>
      <w:bookmarkStart w:id="15" w:name="_Hlk162705050"/>
      <w:r>
        <w:rPr>
          <w:rFonts w:hint="eastAsia"/>
          <w:b w:val="0"/>
          <w:color w:val="auto"/>
          <w:szCs w:val="20"/>
          <w:lang w:val="en-US"/>
        </w:rPr>
        <w:t>For network side data collection, support to further study</w:t>
      </w:r>
    </w:p>
    <w:p>
      <w:pPr>
        <w:numPr>
          <w:ilvl w:val="0"/>
          <w:numId w:val="30"/>
        </w:numPr>
        <w:adjustRightInd w:val="0"/>
        <w:snapToGrid w:val="0"/>
        <w:spacing w:before="30" w:after="30" w:line="288" w:lineRule="auto"/>
        <w:ind w:left="0" w:firstLine="0"/>
        <w:jc w:val="both"/>
        <w:rPr>
          <w:i/>
          <w:color w:val="auto"/>
        </w:rPr>
      </w:pPr>
      <w:r>
        <w:rPr>
          <w:i/>
          <w:color w:val="auto"/>
        </w:rPr>
        <w:t xml:space="preserve">Enhanced Rel-16 eTypeII codebook </w:t>
      </w:r>
      <w:r>
        <w:rPr>
          <w:rFonts w:eastAsia="宋体"/>
          <w:i/>
          <w:color w:val="auto"/>
        </w:rPr>
        <w:t xml:space="preserve">design </w:t>
      </w:r>
      <w:r>
        <w:rPr>
          <w:i/>
          <w:color w:val="auto"/>
        </w:rPr>
        <w:t>to achieve high-resolution CSI</w:t>
      </w:r>
      <w:r>
        <w:rPr>
          <w:rFonts w:eastAsia="宋体"/>
          <w:i/>
          <w:color w:val="auto"/>
        </w:rPr>
        <w:t xml:space="preserve"> for model training and performance monitoring</w:t>
      </w:r>
    </w:p>
    <w:bookmarkEnd w:id="15"/>
    <w:p>
      <w:pPr>
        <w:numPr>
          <w:ilvl w:val="255"/>
          <w:numId w:val="0"/>
        </w:numPr>
        <w:adjustRightInd w:val="0"/>
        <w:snapToGrid w:val="0"/>
        <w:spacing w:before="72" w:beforeLines="30" w:after="72" w:afterLines="30" w:line="288" w:lineRule="auto"/>
        <w:jc w:val="both"/>
        <w:rPr>
          <w:color w:val="auto"/>
        </w:rPr>
      </w:pPr>
      <w:r>
        <w:rPr>
          <w:color w:val="auto"/>
        </w:rPr>
        <w:t xml:space="preserve">For data collection at NW side, the quality of data reported from different UEs may vary greatly. For example, the data collected by UEs at the </w:t>
      </w:r>
      <w:r>
        <w:rPr>
          <w:rFonts w:eastAsia="宋体"/>
          <w:color w:val="auto"/>
        </w:rPr>
        <w:t>cell edge</w:t>
      </w:r>
      <w:r>
        <w:rPr>
          <w:color w:val="auto"/>
        </w:rPr>
        <w:t xml:space="preserve"> may suffer from low signal strength and </w:t>
      </w:r>
      <w:r>
        <w:rPr>
          <w:rFonts w:eastAsia="宋体"/>
          <w:color w:val="auto"/>
        </w:rPr>
        <w:t xml:space="preserve">serious </w:t>
      </w:r>
      <w:r>
        <w:rPr>
          <w:color w:val="auto"/>
        </w:rPr>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Pr>
          <w:rFonts w:eastAsia="宋体"/>
          <w:color w:val="auto"/>
        </w:rPr>
        <w:t xml:space="preserve"> then</w:t>
      </w:r>
      <w:r>
        <w:rPr>
          <w:color w:val="auto"/>
        </w:rPr>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solutions and specification impacts regarding the data quality during data collection at least </w:t>
      </w:r>
      <w:r>
        <w:rPr>
          <w:rFonts w:eastAsia="宋体"/>
          <w:color w:val="auto"/>
        </w:rPr>
        <w:t>from the following two aspects</w:t>
      </w:r>
      <w:r>
        <w:rPr>
          <w:color w:val="auto"/>
        </w:rPr>
        <w:t>:</w:t>
      </w:r>
    </w:p>
    <w:p>
      <w:pPr>
        <w:numPr>
          <w:ilvl w:val="0"/>
          <w:numId w:val="30"/>
        </w:numPr>
        <w:adjustRightInd w:val="0"/>
        <w:snapToGrid w:val="0"/>
        <w:spacing w:before="72" w:beforeLines="30" w:after="72" w:afterLines="30" w:line="288" w:lineRule="auto"/>
        <w:jc w:val="both"/>
        <w:rPr>
          <w:color w:val="auto"/>
        </w:rPr>
      </w:pPr>
      <w:r>
        <w:rPr>
          <w:color w:val="auto"/>
        </w:rPr>
        <w:t xml:space="preserve">UE reports </w:t>
      </w:r>
      <w:r>
        <w:rPr>
          <w:rFonts w:eastAsia="宋体"/>
          <w:color w:val="auto"/>
        </w:rPr>
        <w:t xml:space="preserve">data quality related </w:t>
      </w:r>
      <w:r>
        <w:rPr>
          <w:color w:val="auto"/>
        </w:rPr>
        <w:t>information to NW, e.g., SINR, CQI, positioning information</w:t>
      </w:r>
    </w:p>
    <w:p>
      <w:pPr>
        <w:numPr>
          <w:ilvl w:val="0"/>
          <w:numId w:val="30"/>
        </w:numPr>
        <w:adjustRightInd w:val="0"/>
        <w:snapToGrid w:val="0"/>
        <w:spacing w:before="72" w:beforeLines="30" w:after="72" w:afterLines="30" w:line="288" w:lineRule="auto"/>
        <w:jc w:val="both"/>
        <w:rPr>
          <w:color w:val="auto"/>
        </w:rPr>
      </w:pPr>
      <w:r>
        <w:rPr>
          <w:color w:val="auto"/>
        </w:rPr>
        <w:t>NW configures a threshold of data quality to UE and UE only reports the qualified data to NW</w:t>
      </w:r>
    </w:p>
    <w:p>
      <w:pPr>
        <w:pStyle w:val="147"/>
        <w:snapToGrid w:val="0"/>
        <w:spacing w:before="72" w:after="72"/>
        <w:jc w:val="both"/>
        <w:rPr>
          <w:b w:val="0"/>
          <w:color w:val="auto"/>
          <w:szCs w:val="20"/>
          <w:lang w:val="en-US"/>
        </w:rPr>
      </w:pPr>
      <w:bookmarkStart w:id="16" w:name="_Hlk162705068"/>
      <w:r>
        <w:rPr>
          <w:rFonts w:hint="eastAsia"/>
          <w:b w:val="0"/>
          <w:color w:val="auto"/>
          <w:szCs w:val="20"/>
          <w:lang w:val="en-US"/>
        </w:rPr>
        <w:t>To enable high-quality data collection from UE to network, at least support</w:t>
      </w:r>
    </w:p>
    <w:p>
      <w:pPr>
        <w:numPr>
          <w:ilvl w:val="0"/>
          <w:numId w:val="30"/>
        </w:numPr>
        <w:adjustRightInd w:val="0"/>
        <w:snapToGrid w:val="0"/>
        <w:spacing w:before="30" w:after="30" w:line="288" w:lineRule="auto"/>
        <w:jc w:val="both"/>
        <w:rPr>
          <w:i/>
          <w:color w:val="auto"/>
        </w:rPr>
      </w:pPr>
      <w:r>
        <w:rPr>
          <w:i/>
          <w:color w:val="auto"/>
        </w:rPr>
        <w:t xml:space="preserve">UE reports </w:t>
      </w:r>
      <w:r>
        <w:rPr>
          <w:rFonts w:eastAsia="宋体"/>
          <w:i/>
          <w:iCs/>
          <w:color w:val="auto"/>
        </w:rPr>
        <w:t xml:space="preserve">data quality related </w:t>
      </w:r>
      <w:r>
        <w:rPr>
          <w:i/>
          <w:color w:val="auto"/>
        </w:rPr>
        <w:t>information to NW,</w:t>
      </w:r>
      <w:r>
        <w:rPr>
          <w:color w:val="auto"/>
        </w:rPr>
        <w:t xml:space="preserve"> </w:t>
      </w:r>
      <w:r>
        <w:rPr>
          <w:i/>
          <w:color w:val="auto"/>
        </w:rPr>
        <w:t>e.g., SINR, CQI, positioning information</w:t>
      </w:r>
    </w:p>
    <w:p>
      <w:pPr>
        <w:numPr>
          <w:ilvl w:val="0"/>
          <w:numId w:val="30"/>
        </w:numPr>
        <w:adjustRightInd w:val="0"/>
        <w:snapToGrid w:val="0"/>
        <w:spacing w:before="30" w:after="30" w:line="288" w:lineRule="auto"/>
        <w:jc w:val="both"/>
        <w:rPr>
          <w:i/>
          <w:color w:val="auto"/>
        </w:rPr>
      </w:pPr>
      <w:r>
        <w:rPr>
          <w:i/>
          <w:color w:val="auto"/>
        </w:rPr>
        <w:t>NW configures a threshold of data quality to UE and UE only reports the qualified data to NW</w:t>
      </w:r>
    </w:p>
    <w:p>
      <w:pPr>
        <w:numPr>
          <w:numId w:val="0"/>
        </w:numPr>
        <w:adjustRightInd w:val="0"/>
        <w:snapToGrid w:val="0"/>
        <w:spacing w:before="30" w:after="30" w:line="288" w:lineRule="auto"/>
        <w:ind w:leftChars="0"/>
        <w:jc w:val="both"/>
        <w:rPr>
          <w:i/>
          <w:color w:val="auto"/>
        </w:rPr>
      </w:pPr>
    </w:p>
    <w:bookmarkEnd w:id="16"/>
    <w:p>
      <w:pPr>
        <w:numPr>
          <w:ilvl w:val="1"/>
          <w:numId w:val="10"/>
        </w:numPr>
        <w:adjustRightInd w:val="0"/>
        <w:snapToGrid w:val="0"/>
        <w:spacing w:before="72" w:beforeLines="30" w:after="72" w:afterLines="30" w:line="288" w:lineRule="auto"/>
        <w:jc w:val="both"/>
        <w:outlineLvl w:val="1"/>
        <w:rPr>
          <w:rFonts w:hint="eastAsia"/>
          <w:b/>
          <w:color w:val="auto"/>
          <w:sz w:val="22"/>
        </w:rPr>
      </w:pPr>
      <w:r>
        <w:rPr>
          <w:rFonts w:hint="eastAsia"/>
          <w:b/>
          <w:color w:val="auto"/>
          <w:sz w:val="22"/>
        </w:rPr>
        <w:t xml:space="preserve">CQI determination </w:t>
      </w:r>
    </w:p>
    <w:p>
      <w:pPr>
        <w:keepNext w:val="0"/>
        <w:keepLines w:val="0"/>
        <w:pageBreakBefore w:val="0"/>
        <w:widowControl/>
        <w:kinsoku/>
        <w:wordWrap/>
        <w:overflowPunct/>
        <w:topLinePunct w:val="0"/>
        <w:autoSpaceDE/>
        <w:autoSpaceDN/>
        <w:bidi w:val="0"/>
        <w:adjustRightInd w:val="0"/>
        <w:snapToGrid w:val="0"/>
        <w:spacing w:before="72" w:beforeLines="30" w:after="72" w:afterLines="30" w:line="288" w:lineRule="auto"/>
        <w:jc w:val="both"/>
        <w:textAlignment w:val="auto"/>
        <w:rPr>
          <w:rFonts w:eastAsia="宋体"/>
          <w:color w:val="auto"/>
          <w:kern w:val="2"/>
          <w:sz w:val="20"/>
          <w:szCs w:val="20"/>
        </w:rPr>
      </w:pPr>
      <w:r>
        <w:rPr>
          <w:rFonts w:eastAsia="宋体"/>
          <w:color w:val="auto"/>
          <w:sz w:val="20"/>
          <w:szCs w:val="20"/>
        </w:rPr>
        <w:t>During the study phase in Rel-18</w:t>
      </w:r>
      <w:r>
        <w:rPr>
          <w:rFonts w:eastAsia="宋体"/>
          <w:color w:val="auto"/>
          <w:kern w:val="2"/>
          <w:sz w:val="20"/>
          <w:szCs w:val="20"/>
        </w:rPr>
        <w:t>, the following agreement was achieved for CQI determination in CSI report.</w:t>
      </w:r>
    </w:p>
    <w:tbl>
      <w:tblPr>
        <w:tblStyle w:val="24"/>
        <w:tblpPr w:leftFromText="180" w:rightFromText="180" w:vertAnchor="text" w:horzAnchor="page" w:tblpX="1437" w:tblpY="191"/>
        <w:tblOverlap w:val="never"/>
        <w:tblW w:w="9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201" w:type="dxa"/>
          </w:tcPr>
          <w:p>
            <w:pPr>
              <w:keepNext w:val="0"/>
              <w:keepLines w:val="0"/>
              <w:pageBreakBefore w:val="0"/>
              <w:widowControl/>
              <w:numPr>
                <w:ilvl w:val="0"/>
                <w:numId w:val="23"/>
              </w:numPr>
              <w:kinsoku/>
              <w:wordWrap/>
              <w:topLinePunct w:val="0"/>
              <w:bidi w:val="0"/>
              <w:snapToGrid w:val="0"/>
              <w:spacing w:before="109" w:beforeLines="30" w:after="109" w:afterLines="30" w:line="288" w:lineRule="auto"/>
              <w:rPr>
                <w:rFonts w:eastAsia="宋体"/>
                <w:b/>
                <w:bCs/>
                <w:i/>
                <w:iCs/>
                <w:color w:val="auto"/>
                <w:szCs w:val="20"/>
                <w:lang w:bidi="ar"/>
              </w:rPr>
            </w:pPr>
            <w:r>
              <w:rPr>
                <w:rFonts w:eastAsia="宋体"/>
                <w:b/>
                <w:bCs/>
                <w:i/>
                <w:iCs/>
                <w:color w:val="auto"/>
                <w:szCs w:val="20"/>
                <w:lang w:bidi="ar"/>
              </w:rPr>
              <w:t>Agreements in RAN1#112</w:t>
            </w:r>
          </w:p>
          <w:p>
            <w:pPr>
              <w:keepNext w:val="0"/>
              <w:keepLines w:val="0"/>
              <w:pageBreakBefore w:val="0"/>
              <w:widowControl/>
              <w:kinsoku/>
              <w:wordWrap/>
              <w:topLinePunct w:val="0"/>
              <w:bidi w:val="0"/>
              <w:adjustRightInd w:val="0"/>
              <w:snapToGrid w:val="0"/>
              <w:spacing w:before="109" w:beforeLines="30" w:after="109" w:afterLines="30" w:line="288" w:lineRule="auto"/>
              <w:jc w:val="both"/>
              <w:rPr>
                <w:b/>
                <w:color w:val="auto"/>
                <w:u w:val="single"/>
              </w:rPr>
            </w:pPr>
            <w:r>
              <w:rPr>
                <w:b/>
                <w:color w:val="auto"/>
                <w:u w:val="single"/>
              </w:rPr>
              <w:t>Agreement:</w:t>
            </w:r>
          </w:p>
          <w:p>
            <w:pPr>
              <w:keepNext w:val="0"/>
              <w:keepLines w:val="0"/>
              <w:pageBreakBefore w:val="0"/>
              <w:widowControl/>
              <w:kinsoku/>
              <w:wordWrap/>
              <w:topLinePunct w:val="0"/>
              <w:bidi w:val="0"/>
              <w:snapToGrid w:val="0"/>
              <w:spacing w:before="109" w:beforeLines="30" w:after="109" w:afterLines="30" w:line="288" w:lineRule="auto"/>
              <w:jc w:val="both"/>
              <w:rPr>
                <w:color w:val="auto"/>
              </w:rPr>
            </w:pPr>
            <w:r>
              <w:rPr>
                <w:color w:val="auto"/>
              </w:rPr>
              <w:t xml:space="preserve">In CSI compression using two-sided model use case, further study the following options for CQI determination in CSI report, if CQI in CSI report is configured.    </w:t>
            </w:r>
          </w:p>
          <w:p>
            <w:pPr>
              <w:keepNext w:val="0"/>
              <w:keepLines w:val="0"/>
              <w:pageBreakBefore w:val="0"/>
              <w:widowControl/>
              <w:numPr>
                <w:ilvl w:val="0"/>
                <w:numId w:val="31"/>
              </w:numPr>
              <w:tabs>
                <w:tab w:val="left" w:pos="72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Option 1: CQI is NOT calculated based on the output of CSI reconstruction part from the realistic channel estimation, including</w:t>
            </w:r>
          </w:p>
          <w:p>
            <w:pPr>
              <w:keepNext w:val="0"/>
              <w:keepLines w:val="0"/>
              <w:pageBreakBefore w:val="0"/>
              <w:widowControl/>
              <w:numPr>
                <w:ilvl w:val="1"/>
                <w:numId w:val="31"/>
              </w:numPr>
              <w:tabs>
                <w:tab w:val="left" w:pos="144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 xml:space="preserve">Option 1a: CQI is calculated based on target CSI with realistic channel measurement  </w:t>
            </w:r>
          </w:p>
          <w:p>
            <w:pPr>
              <w:keepNext w:val="0"/>
              <w:keepLines w:val="0"/>
              <w:pageBreakBefore w:val="0"/>
              <w:widowControl/>
              <w:numPr>
                <w:ilvl w:val="1"/>
                <w:numId w:val="31"/>
              </w:numPr>
              <w:tabs>
                <w:tab w:val="left" w:pos="144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 xml:space="preserve">Option 1b: CQI is calculated based on target CSI with realistic channel measurement and potential adjustment </w:t>
            </w:r>
          </w:p>
          <w:p>
            <w:pPr>
              <w:keepNext w:val="0"/>
              <w:keepLines w:val="0"/>
              <w:pageBreakBefore w:val="0"/>
              <w:widowControl/>
              <w:numPr>
                <w:ilvl w:val="1"/>
                <w:numId w:val="31"/>
              </w:numPr>
              <w:tabs>
                <w:tab w:val="left" w:pos="144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Option 1c: CQI is calculated based on legacy codebook</w:t>
            </w:r>
          </w:p>
          <w:p>
            <w:pPr>
              <w:keepNext w:val="0"/>
              <w:keepLines w:val="0"/>
              <w:pageBreakBefore w:val="0"/>
              <w:widowControl/>
              <w:numPr>
                <w:ilvl w:val="0"/>
                <w:numId w:val="31"/>
              </w:numPr>
              <w:tabs>
                <w:tab w:val="left" w:pos="72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Option 2: CQI is calculated based on the output of CSI reconstruction part from the realistic channel estimation, including</w:t>
            </w:r>
          </w:p>
          <w:p>
            <w:pPr>
              <w:keepNext w:val="0"/>
              <w:keepLines w:val="0"/>
              <w:pageBreakBefore w:val="0"/>
              <w:widowControl/>
              <w:numPr>
                <w:ilvl w:val="1"/>
                <w:numId w:val="31"/>
              </w:numPr>
              <w:tabs>
                <w:tab w:val="left" w:pos="144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Option 2a: CQI is calculated based on CSI reconstruction output, if CSI reconstruction model is available at the UE and UE can perform reconstruction model inference with potential adjustment</w:t>
            </w:r>
          </w:p>
          <w:p>
            <w:pPr>
              <w:keepNext w:val="0"/>
              <w:keepLines w:val="0"/>
              <w:pageBreakBefore w:val="0"/>
              <w:widowControl/>
              <w:numPr>
                <w:ilvl w:val="2"/>
                <w:numId w:val="31"/>
              </w:numPr>
              <w:tabs>
                <w:tab w:val="left" w:pos="216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 xml:space="preserve">Note: CSI reconstruction part at the UE can be different comparing to the actual CSI reconstruction part used at the NW. </w:t>
            </w:r>
          </w:p>
          <w:p>
            <w:pPr>
              <w:keepNext w:val="0"/>
              <w:keepLines w:val="0"/>
              <w:pageBreakBefore w:val="0"/>
              <w:widowControl/>
              <w:numPr>
                <w:ilvl w:val="1"/>
                <w:numId w:val="31"/>
              </w:numPr>
              <w:tabs>
                <w:tab w:val="left" w:pos="144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 xml:space="preserve">Option 2b: CQI is calculated using two stage approach, UE derive CQI using precoded CSI-RS transmitted with a reconstructed precoder.   </w:t>
            </w:r>
          </w:p>
          <w:p>
            <w:pPr>
              <w:keepNext w:val="0"/>
              <w:keepLines w:val="0"/>
              <w:pageBreakBefore w:val="0"/>
              <w:widowControl/>
              <w:numPr>
                <w:ilvl w:val="0"/>
                <w:numId w:val="31"/>
              </w:numPr>
              <w:tabs>
                <w:tab w:val="left" w:pos="72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Other options are not precluded</w:t>
            </w:r>
          </w:p>
          <w:p>
            <w:pPr>
              <w:keepNext w:val="0"/>
              <w:keepLines w:val="0"/>
              <w:pageBreakBefore w:val="0"/>
              <w:widowControl/>
              <w:numPr>
                <w:ilvl w:val="0"/>
                <w:numId w:val="31"/>
              </w:numPr>
              <w:tabs>
                <w:tab w:val="left" w:pos="72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 xml:space="preserve">Note1: feasibility of different options should be evaluated </w:t>
            </w:r>
          </w:p>
          <w:p>
            <w:pPr>
              <w:keepNext w:val="0"/>
              <w:keepLines w:val="0"/>
              <w:pageBreakBefore w:val="0"/>
              <w:widowControl/>
              <w:numPr>
                <w:ilvl w:val="0"/>
                <w:numId w:val="31"/>
              </w:numPr>
              <w:tabs>
                <w:tab w:val="left" w:pos="72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Note2: Gap analyses between the UE side CQI calculation results and the NW side results, as well as the impact on the scheduling performance should be evaluated</w:t>
            </w:r>
          </w:p>
          <w:p>
            <w:pPr>
              <w:keepNext w:val="0"/>
              <w:keepLines w:val="0"/>
              <w:pageBreakBefore w:val="0"/>
              <w:widowControl/>
              <w:numPr>
                <w:ilvl w:val="0"/>
                <w:numId w:val="31"/>
              </w:numPr>
              <w:tabs>
                <w:tab w:val="left" w:pos="720"/>
              </w:tabs>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auto"/>
              </w:rPr>
            </w:pPr>
            <w:r>
              <w:rPr>
                <w:color w:val="auto"/>
              </w:rPr>
              <w:t>Note3: Complexity of CQI calculation needs to be evaluated, including the computing complexity and potential RS/signaling overhead</w:t>
            </w:r>
          </w:p>
        </w:tc>
      </w:tr>
    </w:tbl>
    <w:p>
      <w:pPr>
        <w:keepNext w:val="0"/>
        <w:keepLines w:val="0"/>
        <w:pageBreakBefore w:val="0"/>
        <w:widowControl/>
        <w:kinsoku/>
        <w:wordWrap/>
        <w:overflowPunct/>
        <w:topLinePunct w:val="0"/>
        <w:autoSpaceDE/>
        <w:autoSpaceDN/>
        <w:bidi w:val="0"/>
        <w:adjustRightInd w:val="0"/>
        <w:snapToGrid w:val="0"/>
        <w:spacing w:before="72" w:beforeLines="30" w:after="72" w:afterLines="30" w:line="288" w:lineRule="auto"/>
        <w:jc w:val="both"/>
        <w:textAlignment w:val="auto"/>
        <w:rPr>
          <w:color w:val="auto"/>
        </w:rPr>
      </w:pPr>
      <w:r>
        <w:rPr>
          <w:color w:val="auto"/>
        </w:rPr>
        <w:t xml:space="preserve">For CQI determination, we analyze the pros and cons of different options in Table </w:t>
      </w:r>
      <w:r>
        <w:rPr>
          <w:rFonts w:eastAsia="宋体"/>
          <w:color w:val="auto"/>
          <w:szCs w:val="20"/>
        </w:rPr>
        <w:t>5,</w:t>
      </w:r>
      <w:r>
        <w:rPr>
          <w:color w:val="auto"/>
        </w:rPr>
        <w:t xml:space="preserve"> and we propose to further down-select some potential options in Rel-19 study phase. </w:t>
      </w:r>
    </w:p>
    <w:p>
      <w:pPr>
        <w:adjustRightInd w:val="0"/>
        <w:snapToGrid w:val="0"/>
        <w:spacing w:before="72" w:beforeLines="30" w:after="72" w:afterLines="30" w:line="288" w:lineRule="auto"/>
        <w:jc w:val="center"/>
        <w:rPr>
          <w:rFonts w:eastAsiaTheme="minorEastAsia"/>
          <w:color w:val="auto"/>
        </w:rPr>
      </w:pPr>
      <w:r>
        <w:rPr>
          <w:rFonts w:eastAsiaTheme="minorEastAsia"/>
          <w:color w:val="auto"/>
        </w:rPr>
        <w:t>Table 5 The analysis on CQI determination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30" w:after="30" w:line="288" w:lineRule="auto"/>
              <w:jc w:val="center"/>
              <w:rPr>
                <w:rFonts w:eastAsiaTheme="minorEastAsia"/>
                <w:color w:val="auto"/>
              </w:rPr>
            </w:pPr>
            <w:r>
              <w:rPr>
                <w:rFonts w:eastAsiaTheme="minorEastAsia"/>
                <w:color w:val="auto"/>
              </w:rPr>
              <w:t>CQI determination</w:t>
            </w:r>
          </w:p>
        </w:tc>
        <w:tc>
          <w:tcPr>
            <w:tcW w:w="5953" w:type="dxa"/>
          </w:tcPr>
          <w:p>
            <w:pPr>
              <w:adjustRightInd w:val="0"/>
              <w:snapToGrid w:val="0"/>
              <w:spacing w:before="30" w:after="30" w:line="288" w:lineRule="auto"/>
              <w:jc w:val="center"/>
              <w:rPr>
                <w:rFonts w:eastAsiaTheme="minorEastAsia"/>
                <w:color w:val="auto"/>
              </w:rPr>
            </w:pPr>
            <w:r>
              <w:rPr>
                <w:rFonts w:eastAsiaTheme="minorEastAsia"/>
                <w:color w:val="auto"/>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color w:val="auto"/>
              </w:rPr>
            </w:pPr>
            <w:r>
              <w:rPr>
                <w:rFonts w:eastAsiaTheme="minorEastAsia"/>
                <w:color w:val="auto"/>
              </w:rPr>
              <w:t>CQI is NOT calculated based on the output of CSI reconstruction part from the realistic channel estimation</w:t>
            </w: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 xml:space="preserve">Option 1a: CQI is calculated based on target CSI with realistic channel measurement </w:t>
            </w:r>
          </w:p>
        </w:tc>
        <w:tc>
          <w:tcPr>
            <w:tcW w:w="5953" w:type="dxa"/>
          </w:tcPr>
          <w:p>
            <w:pPr>
              <w:numPr>
                <w:ilvl w:val="0"/>
                <w:numId w:val="32"/>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can directly adopt the target CSI with realistic channel measurement for CQI calculation</w:t>
            </w:r>
          </w:p>
          <w:p>
            <w:pPr>
              <w:numPr>
                <w:ilvl w:val="0"/>
                <w:numId w:val="32"/>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may over-estimate the channel condition and reconstructed PMI and CQI are not matched</w:t>
            </w:r>
          </w:p>
          <w:p>
            <w:pPr>
              <w:numPr>
                <w:ilvl w:val="0"/>
                <w:numId w:val="32"/>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 xml:space="preserve">Option 1b: </w:t>
            </w:r>
            <w:r>
              <w:rPr>
                <w:color w:val="auto"/>
              </w:rPr>
              <w:t>CQI is calculated based on target CSI with realistic channel measurement and potential adjustment</w:t>
            </w:r>
          </w:p>
        </w:tc>
        <w:tc>
          <w:tcPr>
            <w:tcW w:w="5953" w:type="dxa"/>
          </w:tcPr>
          <w:p>
            <w:pPr>
              <w:numPr>
                <w:ilvl w:val="0"/>
                <w:numId w:val="33"/>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A CQI adjustment table can be constructed according to some channel characteristics based on some priori information at NW side</w:t>
            </w:r>
          </w:p>
          <w:p>
            <w:pPr>
              <w:numPr>
                <w:ilvl w:val="0"/>
                <w:numId w:val="33"/>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can calculate the similarity-related metrics between measured channel and the channel characteristics to do corresponding CQI adjustment</w:t>
            </w:r>
          </w:p>
          <w:p>
            <w:pPr>
              <w:numPr>
                <w:ilvl w:val="0"/>
                <w:numId w:val="33"/>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Option 1c: CQI is calculated based on legacy codebook</w:t>
            </w:r>
          </w:p>
        </w:tc>
        <w:tc>
          <w:tcPr>
            <w:tcW w:w="5953" w:type="dxa"/>
          </w:tcPr>
          <w:p>
            <w:pPr>
              <w:pStyle w:val="113"/>
              <w:numPr>
                <w:ilvl w:val="0"/>
                <w:numId w:val="34"/>
              </w:numPr>
              <w:adjustRightInd w:val="0"/>
              <w:snapToGrid w:val="0"/>
              <w:spacing w:before="30" w:after="30" w:line="288" w:lineRule="auto"/>
              <w:ind w:firstLineChars="0"/>
              <w:jc w:val="both"/>
              <w:rPr>
                <w:rFonts w:eastAsiaTheme="minorEastAsia"/>
                <w:color w:val="auto"/>
              </w:rPr>
            </w:pPr>
            <w:r>
              <w:rPr>
                <w:rFonts w:eastAsiaTheme="minorEastAsia"/>
                <w:color w:val="auto"/>
              </w:rPr>
              <w:t>UE may not support traditional codebook and AI/ML codebook simultaneously, which will largely increase the UE complexity</w:t>
            </w:r>
          </w:p>
          <w:p>
            <w:pPr>
              <w:pStyle w:val="113"/>
              <w:numPr>
                <w:ilvl w:val="0"/>
                <w:numId w:val="34"/>
              </w:numPr>
              <w:adjustRightInd w:val="0"/>
              <w:snapToGrid w:val="0"/>
              <w:spacing w:before="30" w:after="30" w:line="288" w:lineRule="auto"/>
              <w:ind w:firstLineChars="0"/>
              <w:jc w:val="both"/>
              <w:rPr>
                <w:rFonts w:eastAsiaTheme="minorEastAsia"/>
                <w:color w:val="auto"/>
              </w:rPr>
            </w:pPr>
            <w:r>
              <w:rPr>
                <w:rFonts w:eastAsiaTheme="minorEastAsia"/>
                <w:color w:val="auto"/>
              </w:rPr>
              <w:t xml:space="preserve">Mismatching between PMI and CQI is also unavoidable. If 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color w:val="auto"/>
              </w:rPr>
            </w:pPr>
            <w:r>
              <w:rPr>
                <w:rFonts w:eastAsiaTheme="minorEastAsia"/>
                <w:bCs/>
                <w:color w:val="auto"/>
              </w:rPr>
              <w:t>CQI is calculated based on the output of CSI reconstruction part from the realistic channel estimation</w:t>
            </w:r>
          </w:p>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Option 2a-1: CQI is calculated based on CSI reconstruction output, where CSI reconstruction part at the UE is the same as the actual CSI reconstruction part used at the NW.</w:t>
            </w:r>
          </w:p>
          <w:p>
            <w:pPr>
              <w:adjustRightInd w:val="0"/>
              <w:snapToGrid w:val="0"/>
              <w:spacing w:before="30" w:after="30" w:line="288" w:lineRule="auto"/>
              <w:jc w:val="both"/>
              <w:rPr>
                <w:rFonts w:eastAsiaTheme="minorEastAsia"/>
                <w:color w:val="auto"/>
              </w:rPr>
            </w:pPr>
          </w:p>
        </w:tc>
        <w:tc>
          <w:tcPr>
            <w:tcW w:w="5953" w:type="dxa"/>
          </w:tcPr>
          <w:p>
            <w:pPr>
              <w:numPr>
                <w:ilvl w:val="0"/>
                <w:numId w:val="35"/>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may also be not expected to have CSI reconstruction model as it increases UE computation/storage/power consumption burden to a large extent</w:t>
            </w:r>
          </w:p>
          <w:p>
            <w:pPr>
              <w:numPr>
                <w:ilvl w:val="0"/>
                <w:numId w:val="35"/>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36"/>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The accuracy of CQI calculation based on the proxy output CSI at UE is strongly related to the proxy model design, which may be not reliable.</w:t>
            </w:r>
          </w:p>
          <w:p>
            <w:pPr>
              <w:numPr>
                <w:ilvl w:val="0"/>
                <w:numId w:val="36"/>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 xml:space="preserve">Option 2b: CQI is calculated using two stage approach, UE derive CQI using precoded CSI-RS transmitted with a reconstructed precoder. </w:t>
            </w:r>
          </w:p>
        </w:tc>
        <w:tc>
          <w:tcPr>
            <w:tcW w:w="5953" w:type="dxa"/>
          </w:tcPr>
          <w:p>
            <w:pPr>
              <w:numPr>
                <w:ilvl w:val="0"/>
                <w:numId w:val="37"/>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 xml:space="preserve">UE has to receive a CSI-RS and report the PMI compressed by AI/ML model in the first step. Then, UE is to receive a precoded CSI-RS based on the reconstructed PMI at network and report the CQI determined by precoded CSI-RS in the second step. </w:t>
            </w:r>
          </w:p>
          <w:p>
            <w:pPr>
              <w:numPr>
                <w:ilvl w:val="0"/>
                <w:numId w:val="37"/>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The two-step procedure increases the time span of the CQI determination process, which may face the channel variation/aging so that the current CQI cannot match the previous CSI</w:t>
            </w:r>
          </w:p>
          <w:p>
            <w:pPr>
              <w:numPr>
                <w:ilvl w:val="0"/>
                <w:numId w:val="37"/>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 xml:space="preserve">In current specification, this mode is already supported (i.e., when the report quantity is cri-RI-CQI) and less specification impact is foreseen. </w:t>
            </w:r>
          </w:p>
        </w:tc>
      </w:tr>
    </w:tbl>
    <w:p>
      <w:pPr>
        <w:pStyle w:val="14"/>
        <w:snapToGrid w:val="0"/>
        <w:spacing w:before="72" w:beforeLines="30" w:after="72" w:afterLines="30" w:line="288" w:lineRule="auto"/>
        <w:jc w:val="both"/>
        <w:rPr>
          <w:color w:val="auto"/>
        </w:rPr>
      </w:pPr>
      <w:r>
        <w:rPr>
          <w:color w:val="auto"/>
        </w:rPr>
        <w:t>Based on the above analysis, we propose to at least prioritize the specification impact discussions on Option 1a, Option 1b.</w:t>
      </w:r>
    </w:p>
    <w:p>
      <w:pPr>
        <w:pStyle w:val="147"/>
        <w:snapToGrid w:val="0"/>
        <w:spacing w:before="72" w:after="72"/>
        <w:jc w:val="both"/>
        <w:rPr>
          <w:b w:val="0"/>
          <w:color w:val="auto"/>
          <w:szCs w:val="20"/>
          <w:lang w:val="en-US"/>
        </w:rPr>
      </w:pPr>
      <w:bookmarkStart w:id="17" w:name="_Hlk162705086"/>
      <w:bookmarkStart w:id="18" w:name="_Hlk166145939"/>
      <w:r>
        <w:rPr>
          <w:rFonts w:hint="eastAsia"/>
          <w:b w:val="0"/>
          <w:color w:val="auto"/>
          <w:szCs w:val="20"/>
          <w:lang w:val="en-US"/>
        </w:rPr>
        <w:t xml:space="preserve">For CQI determination, at least prioritize the specification impact discussions on </w:t>
      </w:r>
      <w:bookmarkEnd w:id="17"/>
      <w:r>
        <w:rPr>
          <w:rFonts w:hint="eastAsia"/>
          <w:b w:val="0"/>
          <w:color w:val="auto"/>
          <w:szCs w:val="20"/>
          <w:lang w:val="en-US"/>
        </w:rPr>
        <w:t>Option</w:t>
      </w:r>
      <w:r>
        <w:rPr>
          <w:rFonts w:hint="eastAsia"/>
          <w:b w:val="0"/>
          <w:color w:val="auto"/>
          <w:szCs w:val="20"/>
          <w:lang w:val="en-US" w:eastAsia="zh-CN"/>
        </w:rPr>
        <w:t>s</w:t>
      </w:r>
      <w:r>
        <w:rPr>
          <w:rFonts w:hint="eastAsia"/>
          <w:b w:val="0"/>
          <w:color w:val="auto"/>
          <w:szCs w:val="20"/>
          <w:lang w:val="en-US"/>
        </w:rPr>
        <w:t xml:space="preserve"> 1a</w:t>
      </w:r>
      <w:r>
        <w:rPr>
          <w:rFonts w:hint="eastAsia"/>
          <w:b w:val="0"/>
          <w:color w:val="auto"/>
          <w:szCs w:val="20"/>
          <w:lang w:val="en-US" w:eastAsia="zh-CN"/>
        </w:rPr>
        <w:t xml:space="preserve"> and </w:t>
      </w:r>
      <w:r>
        <w:rPr>
          <w:rFonts w:hint="eastAsia"/>
          <w:b w:val="0"/>
          <w:color w:val="auto"/>
          <w:szCs w:val="20"/>
          <w:lang w:val="en-US"/>
        </w:rPr>
        <w:t>1b.</w:t>
      </w:r>
    </w:p>
    <w:p>
      <w:pPr>
        <w:pStyle w:val="147"/>
        <w:numPr>
          <w:numId w:val="0"/>
        </w:numPr>
        <w:snapToGrid w:val="0"/>
        <w:spacing w:before="72" w:after="72"/>
        <w:ind w:leftChars="0"/>
        <w:jc w:val="both"/>
        <w:rPr>
          <w:b w:val="0"/>
          <w:color w:val="auto"/>
          <w:szCs w:val="20"/>
          <w:lang w:val="en-US"/>
        </w:rPr>
      </w:pPr>
    </w:p>
    <w:bookmarkEnd w:id="18"/>
    <w:p>
      <w:pPr>
        <w:numPr>
          <w:ilvl w:val="1"/>
          <w:numId w:val="10"/>
        </w:numPr>
        <w:adjustRightInd w:val="0"/>
        <w:snapToGrid w:val="0"/>
        <w:spacing w:before="72" w:beforeLines="30" w:after="72" w:afterLines="30" w:line="288" w:lineRule="auto"/>
        <w:jc w:val="both"/>
        <w:outlineLvl w:val="1"/>
        <w:rPr>
          <w:rFonts w:hint="eastAsia"/>
          <w:b/>
          <w:color w:val="auto"/>
          <w:sz w:val="22"/>
        </w:rPr>
      </w:pPr>
      <w:r>
        <w:rPr>
          <w:rFonts w:hint="eastAsia"/>
          <w:b/>
          <w:color w:val="auto"/>
          <w:sz w:val="22"/>
        </w:rPr>
        <w:t>Performance monitoring</w:t>
      </w:r>
    </w:p>
    <w:p>
      <w:pPr>
        <w:snapToGrid w:val="0"/>
        <w:spacing w:before="72" w:beforeLines="30" w:after="72" w:afterLines="30" w:line="288" w:lineRule="auto"/>
        <w:jc w:val="both"/>
        <w:rPr>
          <w:color w:val="auto"/>
        </w:rPr>
      </w:pPr>
      <w:r>
        <w:rPr>
          <w:color w:val="auto"/>
        </w:rPr>
        <w:t xml:space="preserve">In RAN1#117 meeting, the following agreement related to monitoring based on intermediate KPIs </w:t>
      </w:r>
      <w:r>
        <w:rPr>
          <w:rFonts w:eastAsia="宋体"/>
          <w:color w:val="auto"/>
        </w:rPr>
        <w:t>were</w:t>
      </w:r>
      <w:r>
        <w:rPr>
          <w:color w:val="auto"/>
        </w:rPr>
        <w:t xml:space="preserve">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b/>
                <w:color w:val="auto"/>
                <w:u w:val="single"/>
              </w:rPr>
            </w:pPr>
            <w:r>
              <w:rPr>
                <w:b/>
                <w:color w:val="auto"/>
                <w:u w:val="single"/>
              </w:rPr>
              <w:t>Agreement:</w:t>
            </w:r>
          </w:p>
          <w:p>
            <w:pPr>
              <w:snapToGrid w:val="0"/>
              <w:spacing w:before="72" w:beforeLines="30" w:after="72" w:afterLines="30" w:line="288" w:lineRule="auto"/>
              <w:rPr>
                <w:rFonts w:eastAsia="等线"/>
                <w:color w:val="auto"/>
              </w:rPr>
            </w:pPr>
            <w:r>
              <w:rPr>
                <w:color w:val="auto"/>
              </w:rPr>
              <w:t>Further study following monitoring options in Rel-19</w:t>
            </w:r>
            <w:r>
              <w:rPr>
                <w:rFonts w:hint="eastAsia" w:eastAsia="等线"/>
                <w:color w:val="auto"/>
              </w:rPr>
              <w:t xml:space="preserve">, including the necessity and feasibility, </w:t>
            </w:r>
          </w:p>
          <w:p>
            <w:pPr>
              <w:pStyle w:val="113"/>
              <w:numPr>
                <w:ilvl w:val="0"/>
                <w:numId w:val="38"/>
              </w:numPr>
              <w:snapToGrid w:val="0"/>
              <w:spacing w:before="72" w:beforeLines="30" w:after="72" w:afterLines="30" w:line="288" w:lineRule="auto"/>
              <w:ind w:firstLineChars="0"/>
              <w:jc w:val="both"/>
              <w:rPr>
                <w:color w:val="auto"/>
              </w:rPr>
            </w:pPr>
            <w:r>
              <w:rPr>
                <w:color w:val="auto"/>
              </w:rPr>
              <w:t>NW-side monitoring</w:t>
            </w:r>
            <w:r>
              <w:rPr>
                <w:rFonts w:hint="eastAsia" w:eastAsia="等线"/>
                <w:color w:val="auto"/>
              </w:rPr>
              <w:t>, considering o</w:t>
            </w:r>
            <w:r>
              <w:rPr>
                <w:rFonts w:hint="eastAsia"/>
                <w:color w:val="auto"/>
              </w:rPr>
              <w:t xml:space="preserve">verhead, </w:t>
            </w:r>
            <w:r>
              <w:rPr>
                <w:color w:val="auto"/>
              </w:rPr>
              <w:t>latency</w:t>
            </w:r>
            <w:r>
              <w:rPr>
                <w:rFonts w:hint="eastAsia"/>
                <w:color w:val="auto"/>
              </w:rPr>
              <w:t xml:space="preserve">, complexity, monitoring </w:t>
            </w:r>
            <w:r>
              <w:rPr>
                <w:color w:val="auto"/>
              </w:rPr>
              <w:t>accuracy</w:t>
            </w:r>
            <w:r>
              <w:rPr>
                <w:rFonts w:hint="eastAsia" w:eastAsia="等线"/>
                <w:color w:val="auto"/>
              </w:rPr>
              <w:t xml:space="preserve">, UE </w:t>
            </w:r>
            <w:r>
              <w:rPr>
                <w:rFonts w:eastAsia="等线"/>
                <w:color w:val="auto"/>
              </w:rPr>
              <w:t>capability</w:t>
            </w:r>
          </w:p>
          <w:p>
            <w:pPr>
              <w:pStyle w:val="113"/>
              <w:numPr>
                <w:ilvl w:val="1"/>
                <w:numId w:val="38"/>
              </w:numPr>
              <w:snapToGrid w:val="0"/>
              <w:spacing w:before="72" w:beforeLines="30" w:after="72" w:afterLines="30" w:line="288" w:lineRule="auto"/>
              <w:ind w:firstLineChars="0"/>
              <w:jc w:val="both"/>
              <w:rPr>
                <w:color w:val="auto"/>
              </w:rPr>
            </w:pPr>
            <w:r>
              <w:rPr>
                <w:color w:val="auto"/>
              </w:rPr>
              <w:t>Based on the target CSI reported by the UE via legacy eT2 codebook or eT2-like high-resolution codebook (Case 1)</w:t>
            </w:r>
          </w:p>
          <w:p>
            <w:pPr>
              <w:pStyle w:val="113"/>
              <w:numPr>
                <w:ilvl w:val="1"/>
                <w:numId w:val="38"/>
              </w:numPr>
              <w:snapToGrid w:val="0"/>
              <w:spacing w:before="72" w:beforeLines="30" w:after="72" w:afterLines="30" w:line="288" w:lineRule="auto"/>
              <w:ind w:firstLineChars="0"/>
              <w:rPr>
                <w:color w:val="auto"/>
              </w:rPr>
            </w:pPr>
            <w:r>
              <w:rPr>
                <w:color w:val="auto"/>
              </w:rPr>
              <w:t>SRS-based monitoring</w:t>
            </w:r>
          </w:p>
          <w:p>
            <w:pPr>
              <w:pStyle w:val="113"/>
              <w:numPr>
                <w:ilvl w:val="0"/>
                <w:numId w:val="38"/>
              </w:numPr>
              <w:snapToGrid w:val="0"/>
              <w:spacing w:before="72" w:beforeLines="30" w:after="72" w:afterLines="30" w:line="288" w:lineRule="auto"/>
              <w:ind w:firstLineChars="0"/>
              <w:jc w:val="both"/>
              <w:rPr>
                <w:color w:val="auto"/>
              </w:rPr>
            </w:pPr>
            <w:r>
              <w:rPr>
                <w:color w:val="auto"/>
              </w:rPr>
              <w:t>UE-side monitoring</w:t>
            </w:r>
            <w:r>
              <w:rPr>
                <w:rFonts w:hint="eastAsia" w:eastAsia="等线"/>
                <w:color w:val="auto"/>
              </w:rPr>
              <w:t>, considering o</w:t>
            </w:r>
            <w:r>
              <w:rPr>
                <w:rFonts w:hint="eastAsia"/>
                <w:color w:val="auto"/>
              </w:rPr>
              <w:t xml:space="preserve">verhead, </w:t>
            </w:r>
            <w:r>
              <w:rPr>
                <w:color w:val="auto"/>
              </w:rPr>
              <w:t>latency</w:t>
            </w:r>
            <w:r>
              <w:rPr>
                <w:rFonts w:hint="eastAsia"/>
                <w:color w:val="auto"/>
              </w:rPr>
              <w:t xml:space="preserve">, complexity, monitoring </w:t>
            </w:r>
            <w:r>
              <w:rPr>
                <w:color w:val="auto"/>
              </w:rPr>
              <w:t>accuracy</w:t>
            </w:r>
            <w:r>
              <w:rPr>
                <w:rFonts w:hint="eastAsia" w:eastAsia="等线"/>
                <w:color w:val="auto"/>
              </w:rPr>
              <w:t xml:space="preserve">, UE </w:t>
            </w:r>
            <w:r>
              <w:rPr>
                <w:rFonts w:eastAsia="等线"/>
                <w:color w:val="auto"/>
              </w:rPr>
              <w:t>capability</w:t>
            </w:r>
          </w:p>
          <w:p>
            <w:pPr>
              <w:pStyle w:val="113"/>
              <w:numPr>
                <w:ilvl w:val="1"/>
                <w:numId w:val="38"/>
              </w:numPr>
              <w:snapToGrid w:val="0"/>
              <w:spacing w:before="72" w:beforeLines="30" w:after="72" w:afterLines="30" w:line="288" w:lineRule="auto"/>
              <w:ind w:firstLineChars="0"/>
              <w:jc w:val="both"/>
              <w:rPr>
                <w:color w:val="auto"/>
              </w:rPr>
            </w:pPr>
            <w:r>
              <w:rPr>
                <w:color w:val="auto"/>
              </w:rPr>
              <w:t xml:space="preserve">Based on </w:t>
            </w:r>
            <w:r>
              <w:rPr>
                <w:rFonts w:eastAsia="宋体"/>
                <w:color w:val="auto"/>
              </w:rPr>
              <w:t xml:space="preserve">the output of the </w:t>
            </w:r>
            <w:r>
              <w:rPr>
                <w:color w:val="auto"/>
              </w:rPr>
              <w:t xml:space="preserve">CSI reconstruction </w:t>
            </w:r>
            <w:r>
              <w:rPr>
                <w:rFonts w:eastAsia="宋体"/>
                <w:color w:val="auto"/>
              </w:rPr>
              <w:t>model at the UE</w:t>
            </w:r>
            <w:r>
              <w:rPr>
                <w:color w:val="auto"/>
              </w:rPr>
              <w:t xml:space="preserve"> (Case 2-1)</w:t>
            </w:r>
          </w:p>
          <w:p>
            <w:pPr>
              <w:pStyle w:val="113"/>
              <w:numPr>
                <w:ilvl w:val="2"/>
                <w:numId w:val="38"/>
              </w:numPr>
              <w:snapToGrid w:val="0"/>
              <w:spacing w:before="72" w:beforeLines="30" w:after="72" w:afterLines="30" w:line="288" w:lineRule="auto"/>
              <w:ind w:firstLineChars="0"/>
              <w:jc w:val="both"/>
              <w:rPr>
                <w:color w:val="auto"/>
              </w:rPr>
            </w:pPr>
            <w:r>
              <w:rPr>
                <w:color w:val="auto"/>
              </w:rPr>
              <w:t>Note: CSI reconstruction model at the UE-side can be the same as the actual CSI reconstruction model used at the NW-side, a reference model provided by NW, or a proxy model developed by the UE side.</w:t>
            </w:r>
          </w:p>
          <w:p>
            <w:pPr>
              <w:pStyle w:val="113"/>
              <w:numPr>
                <w:ilvl w:val="1"/>
                <w:numId w:val="38"/>
              </w:numPr>
              <w:snapToGrid w:val="0"/>
              <w:spacing w:before="72" w:beforeLines="30" w:after="72" w:afterLines="30" w:line="288" w:lineRule="auto"/>
              <w:ind w:firstLineChars="0"/>
              <w:jc w:val="both"/>
              <w:rPr>
                <w:color w:val="auto"/>
              </w:rPr>
            </w:pPr>
            <w:r>
              <w:rPr>
                <w:color w:val="auto"/>
              </w:rPr>
              <w:t>Via direct estimation of intermediate KPI (e.g., SGCS) without reconstructing a target CSI (Case 2-2)</w:t>
            </w:r>
          </w:p>
          <w:p>
            <w:pPr>
              <w:pStyle w:val="113"/>
              <w:numPr>
                <w:ilvl w:val="1"/>
                <w:numId w:val="38"/>
              </w:numPr>
              <w:snapToGrid w:val="0"/>
              <w:spacing w:before="72" w:beforeLines="30" w:after="72" w:afterLines="30" w:line="288" w:lineRule="auto"/>
              <w:ind w:firstLineChars="0"/>
              <w:jc w:val="both"/>
              <w:rPr>
                <w:color w:val="auto"/>
              </w:rPr>
            </w:pPr>
            <w:r>
              <w:rPr>
                <w:color w:val="auto"/>
              </w:rPr>
              <w:t>Via estimation of monitoring output other than intermediate KPI</w:t>
            </w:r>
            <w:r>
              <w:rPr>
                <w:rFonts w:hint="eastAsia" w:eastAsia="等线"/>
                <w:color w:val="auto"/>
              </w:rPr>
              <w:t xml:space="preserve"> </w:t>
            </w:r>
            <w:r>
              <w:rPr>
                <w:color w:val="auto"/>
              </w:rPr>
              <w:t>without reconstructing a target CSI</w:t>
            </w:r>
          </w:p>
          <w:p>
            <w:pPr>
              <w:pStyle w:val="113"/>
              <w:numPr>
                <w:ilvl w:val="1"/>
                <w:numId w:val="38"/>
              </w:numPr>
              <w:snapToGrid w:val="0"/>
              <w:spacing w:before="72" w:beforeLines="30" w:after="72" w:afterLines="30" w:line="288" w:lineRule="auto"/>
              <w:ind w:firstLineChars="0"/>
              <w:jc w:val="both"/>
              <w:rPr>
                <w:color w:val="auto"/>
              </w:rPr>
            </w:pPr>
            <w:r>
              <w:rPr>
                <w:color w:val="auto"/>
              </w:rPr>
              <w:t xml:space="preserve">Based on precoded RS (e.g., CSI-RS, DMRS) transmitted from NW based on the output of the CSI reconstruction model </w:t>
            </w:r>
          </w:p>
          <w:p>
            <w:pPr>
              <w:pStyle w:val="113"/>
              <w:numPr>
                <w:ilvl w:val="1"/>
                <w:numId w:val="38"/>
              </w:numPr>
              <w:snapToGrid w:val="0"/>
              <w:spacing w:before="72" w:beforeLines="30" w:after="72" w:afterLines="30" w:line="288" w:lineRule="auto"/>
              <w:ind w:firstLineChars="0"/>
              <w:jc w:val="both"/>
              <w:rPr>
                <w:color w:val="auto"/>
              </w:rPr>
            </w:pPr>
            <w:r>
              <w:rPr>
                <w:color w:val="auto"/>
              </w:rPr>
              <w:t>Based on the output of the CSI reconstruction model indicated by the NW via legacy eT2 codebook or eT2-like high-resolution codebook</w:t>
            </w:r>
          </w:p>
          <w:p>
            <w:pPr>
              <w:snapToGrid w:val="0"/>
              <w:spacing w:before="72" w:beforeLines="30" w:after="72" w:afterLines="30" w:line="288" w:lineRule="auto"/>
              <w:rPr>
                <w:color w:val="auto"/>
              </w:rPr>
            </w:pPr>
            <w:r>
              <w:rPr>
                <w:color w:val="auto"/>
              </w:rPr>
              <w:t>Regarding monitoring metrics:</w:t>
            </w:r>
          </w:p>
          <w:p>
            <w:pPr>
              <w:pStyle w:val="113"/>
              <w:numPr>
                <w:ilvl w:val="0"/>
                <w:numId w:val="39"/>
              </w:numPr>
              <w:snapToGrid w:val="0"/>
              <w:spacing w:before="72" w:beforeLines="30" w:after="72" w:afterLines="30" w:line="288" w:lineRule="auto"/>
              <w:ind w:firstLineChars="0"/>
              <w:jc w:val="both"/>
              <w:rPr>
                <w:color w:val="auto"/>
              </w:rPr>
            </w:pPr>
            <w:r>
              <w:rPr>
                <w:color w:val="auto"/>
              </w:rPr>
              <w:t>Monitoring accuracy also includes generalization considerations, if applicable.</w:t>
            </w:r>
          </w:p>
          <w:p>
            <w:pPr>
              <w:pStyle w:val="113"/>
              <w:numPr>
                <w:ilvl w:val="0"/>
                <w:numId w:val="39"/>
              </w:numPr>
              <w:snapToGrid w:val="0"/>
              <w:spacing w:before="72" w:beforeLines="30" w:after="72" w:afterLines="30" w:line="288" w:lineRule="auto"/>
              <w:ind w:firstLineChars="0"/>
              <w:jc w:val="both"/>
              <w:rPr>
                <w:color w:val="auto"/>
              </w:rPr>
            </w:pPr>
            <w:r>
              <w:rPr>
                <w:color w:val="auto"/>
              </w:rPr>
              <w:t>Complexity also includes LCM complexity, if applicable.</w:t>
            </w:r>
          </w:p>
          <w:p>
            <w:pPr>
              <w:pStyle w:val="113"/>
              <w:numPr>
                <w:ilvl w:val="0"/>
                <w:numId w:val="39"/>
              </w:numPr>
              <w:snapToGrid w:val="0"/>
              <w:spacing w:before="72" w:beforeLines="30" w:after="72" w:afterLines="30" w:line="288" w:lineRule="auto"/>
              <w:ind w:firstLineChars="0"/>
              <w:jc w:val="both"/>
              <w:rPr>
                <w:color w:val="auto"/>
              </w:rPr>
            </w:pPr>
            <w:r>
              <w:rPr>
                <w:color w:val="auto"/>
              </w:rPr>
              <w:t>Monitoring overhead, latency, complexity, and accuracy analysis may have to consider using at N&gt;1 CSI feedback occasions.</w:t>
            </w:r>
          </w:p>
          <w:p>
            <w:pPr>
              <w:pStyle w:val="113"/>
              <w:numPr>
                <w:ilvl w:val="0"/>
                <w:numId w:val="39"/>
              </w:numPr>
              <w:snapToGrid w:val="0"/>
              <w:spacing w:before="72" w:beforeLines="30" w:after="72" w:afterLines="30" w:line="288" w:lineRule="auto"/>
              <w:ind w:firstLineChars="0"/>
              <w:jc w:val="both"/>
              <w:rPr>
                <w:color w:val="auto"/>
              </w:rPr>
            </w:pPr>
            <w:r>
              <w:rPr>
                <w:rFonts w:hint="eastAsia" w:eastAsia="等线"/>
                <w:color w:val="auto"/>
              </w:rPr>
              <w:t>T</w:t>
            </w:r>
            <w:r>
              <w:rPr>
                <w:rFonts w:eastAsia="等线"/>
                <w:color w:val="auto"/>
              </w:rPr>
              <w:t>estability</w:t>
            </w:r>
            <w:r>
              <w:rPr>
                <w:rFonts w:hint="eastAsia" w:eastAsia="等线"/>
                <w:color w:val="auto"/>
              </w:rPr>
              <w:t xml:space="preserve"> of UE reported metrics</w:t>
            </w:r>
          </w:p>
          <w:p>
            <w:pPr>
              <w:snapToGrid w:val="0"/>
              <w:spacing w:before="72" w:beforeLines="30" w:after="72" w:afterLines="30" w:line="288" w:lineRule="auto"/>
              <w:rPr>
                <w:color w:val="auto"/>
              </w:rPr>
            </w:pPr>
            <w:r>
              <w:rPr>
                <w:color w:val="auto"/>
              </w:rPr>
              <w:t>Discussion may include the following aspects:</w:t>
            </w:r>
          </w:p>
          <w:p>
            <w:pPr>
              <w:pStyle w:val="113"/>
              <w:numPr>
                <w:ilvl w:val="0"/>
                <w:numId w:val="39"/>
              </w:numPr>
              <w:snapToGrid w:val="0"/>
              <w:spacing w:before="72" w:beforeLines="30" w:after="72" w:afterLines="30" w:line="288" w:lineRule="auto"/>
              <w:ind w:firstLineChars="0"/>
              <w:jc w:val="both"/>
              <w:rPr>
                <w:color w:val="auto"/>
              </w:rPr>
            </w:pPr>
            <w:r>
              <w:rPr>
                <w:color w:val="auto"/>
              </w:rPr>
              <w:t>Consideration of Options 1-5 and their sub-options for alleviating / resolving the issues related to inter-vendor training collaboration</w:t>
            </w:r>
          </w:p>
          <w:p>
            <w:pPr>
              <w:pStyle w:val="113"/>
              <w:numPr>
                <w:ilvl w:val="0"/>
                <w:numId w:val="39"/>
              </w:numPr>
              <w:snapToGrid w:val="0"/>
              <w:spacing w:before="72" w:beforeLines="30" w:after="72" w:afterLines="30" w:line="288" w:lineRule="auto"/>
              <w:ind w:firstLineChars="0"/>
              <w:jc w:val="both"/>
              <w:rPr>
                <w:color w:val="auto"/>
              </w:rPr>
            </w:pPr>
            <w:r>
              <w:rPr>
                <w:color w:val="auto"/>
              </w:rPr>
              <w:t>Temporal domain aspects of CSI compression</w:t>
            </w:r>
          </w:p>
          <w:p>
            <w:pPr>
              <w:pStyle w:val="113"/>
              <w:numPr>
                <w:ilvl w:val="0"/>
                <w:numId w:val="39"/>
              </w:numPr>
              <w:snapToGrid w:val="0"/>
              <w:spacing w:before="72" w:beforeLines="30" w:after="72" w:afterLines="30" w:line="288" w:lineRule="auto"/>
              <w:ind w:firstLineChars="0"/>
              <w:jc w:val="both"/>
              <w:rPr>
                <w:color w:val="auto"/>
              </w:rPr>
            </w:pPr>
            <w:r>
              <w:rPr>
                <w:color w:val="auto"/>
              </w:rPr>
              <w:t>How the above monitoring approaches or combination of them may help identifying</w:t>
            </w:r>
            <w:r>
              <w:rPr>
                <w:rFonts w:hint="eastAsia"/>
                <w:color w:val="auto"/>
              </w:rPr>
              <w:t xml:space="preserve"> the cause </w:t>
            </w:r>
            <w:r>
              <w:rPr>
                <w:rFonts w:hint="eastAsia" w:eastAsia="等线"/>
                <w:color w:val="auto"/>
              </w:rPr>
              <w:t xml:space="preserve">(e.g., NW side, UE side, data drift) </w:t>
            </w:r>
            <w:r>
              <w:rPr>
                <w:rFonts w:hint="eastAsia"/>
                <w:color w:val="auto"/>
              </w:rPr>
              <w:t>of the performance degradation</w:t>
            </w:r>
          </w:p>
          <w:p>
            <w:pPr>
              <w:snapToGrid w:val="0"/>
              <w:spacing w:before="72" w:beforeLines="30" w:after="72" w:afterLines="30" w:line="288" w:lineRule="auto"/>
              <w:rPr>
                <w:color w:val="auto"/>
              </w:rPr>
            </w:pPr>
            <w:r>
              <w:rPr>
                <w:color w:val="auto"/>
              </w:rPr>
              <w:t>Note: for UE-side monitoring, the final reported monitoring output, if specified, may be different, e.g., be further derived based on the output of the above approaches.</w:t>
            </w:r>
          </w:p>
          <w:p>
            <w:pPr>
              <w:snapToGrid w:val="0"/>
              <w:spacing w:before="72" w:beforeLines="30" w:after="72" w:afterLines="30" w:line="288" w:lineRule="auto"/>
              <w:rPr>
                <w:rFonts w:eastAsia="等线"/>
                <w:color w:val="auto"/>
              </w:rPr>
            </w:pPr>
            <w:r>
              <w:rPr>
                <w:color w:val="auto"/>
              </w:rPr>
              <w:t>Note: implementation-based monitoring solutions can be considered in assessing the necessity of the above monitoring approaches.</w:t>
            </w:r>
          </w:p>
        </w:tc>
      </w:tr>
    </w:tbl>
    <w:p>
      <w:pPr>
        <w:snapToGrid w:val="0"/>
        <w:spacing w:before="72" w:beforeLines="30" w:after="72" w:afterLines="30" w:line="288" w:lineRule="auto"/>
        <w:jc w:val="both"/>
        <w:rPr>
          <w:rFonts w:eastAsia="宋体"/>
          <w:color w:val="auto"/>
        </w:rPr>
      </w:pPr>
      <w:r>
        <w:rPr>
          <w:rFonts w:eastAsia="宋体"/>
          <w:color w:val="auto"/>
        </w:rPr>
        <w:t xml:space="preserve">When AI/ML </w:t>
      </w:r>
      <w:r>
        <w:rPr>
          <w:color w:val="auto"/>
        </w:rPr>
        <w:t xml:space="preserve">model performance loss happens, it should contribute to the whole two-sided model. Thus, monitoring can be performed at either UE side or NW side to monitor the current </w:t>
      </w:r>
      <w:r>
        <w:rPr>
          <w:rFonts w:eastAsia="宋体"/>
          <w:color w:val="auto"/>
        </w:rPr>
        <w:t xml:space="preserve">AI/ML model </w:t>
      </w:r>
      <w:r>
        <w:rPr>
          <w:color w:val="auto"/>
        </w:rPr>
        <w:t>performance</w:t>
      </w:r>
      <w:r>
        <w:rPr>
          <w:rFonts w:eastAsia="宋体"/>
          <w:color w:val="auto"/>
        </w:rPr>
        <w:t xml:space="preserve">. </w:t>
      </w:r>
    </w:p>
    <w:p>
      <w:pPr>
        <w:widowControl w:val="0"/>
        <w:numPr>
          <w:ilvl w:val="255"/>
          <w:numId w:val="0"/>
        </w:numPr>
        <w:adjustRightInd w:val="0"/>
        <w:snapToGrid w:val="0"/>
        <w:spacing w:before="72" w:beforeLines="30" w:after="72" w:afterLines="30" w:line="288" w:lineRule="auto"/>
        <w:jc w:val="both"/>
        <w:rPr>
          <w:rFonts w:eastAsia="宋体"/>
          <w:b/>
          <w:color w:val="auto"/>
          <w:u w:val="single"/>
        </w:rPr>
      </w:pPr>
      <w:r>
        <w:rPr>
          <w:rFonts w:eastAsia="宋体"/>
          <w:b/>
          <w:color w:val="auto"/>
          <w:u w:val="single"/>
        </w:rPr>
        <w:t>Network-side performance monitoring</w:t>
      </w:r>
    </w:p>
    <w:p>
      <w:pPr>
        <w:widowControl w:val="0"/>
        <w:numPr>
          <w:ilvl w:val="255"/>
          <w:numId w:val="0"/>
        </w:numPr>
        <w:adjustRightInd w:val="0"/>
        <w:snapToGrid w:val="0"/>
        <w:spacing w:before="72" w:beforeLines="30" w:after="72" w:afterLines="30" w:line="288" w:lineRule="auto"/>
        <w:jc w:val="both"/>
        <w:rPr>
          <w:color w:val="auto"/>
        </w:rPr>
      </w:pPr>
      <w:r>
        <w:rPr>
          <w:rFonts w:eastAsia="宋体"/>
          <w:color w:val="auto"/>
        </w:rPr>
        <w:t>For NW-side monitoring,</w:t>
      </w:r>
      <w:r>
        <w:rPr>
          <w:color w:val="auto"/>
        </w:rPr>
        <w:t xml:space="preserve"> UE </w:t>
      </w:r>
      <w:r>
        <w:rPr>
          <w:rFonts w:eastAsia="宋体"/>
          <w:color w:val="auto"/>
        </w:rPr>
        <w:t xml:space="preserve">needs to </w:t>
      </w:r>
      <w:r>
        <w:rPr>
          <w:color w:val="auto"/>
        </w:rPr>
        <w:t>report ground-truth CSI to network to calculate the monitoring metrics due to the fact that network cannot directly obtain the ground-truth label. In order to improve the performance of network-based model monitoring, a higher resolution ground-truth label needs to be reported by UE. Similar to data collection, an enhanced Type II codebook with acceptable overhead can be a promising solution to NW-side monitoring, since this solution</w:t>
      </w:r>
      <w:r>
        <w:rPr>
          <w:rFonts w:eastAsia="宋体"/>
          <w:color w:val="auto"/>
        </w:rPr>
        <w:t xml:space="preserve"> </w:t>
      </w:r>
      <w:r>
        <w:rPr>
          <w:color w:val="auto"/>
        </w:rPr>
        <w:t>provides good performance monitoring accuracy a</w:t>
      </w:r>
      <w:r>
        <w:rPr>
          <w:rFonts w:eastAsia="宋体"/>
          <w:color w:val="auto"/>
        </w:rPr>
        <w:t>ccording to the observations in TR</w:t>
      </w:r>
      <w:r>
        <w:rPr>
          <w:color w:val="auto"/>
        </w:rPr>
        <w:t>. In addition, some companies proposed to apply SRS for NW-side performance monitoring. To our understanding, channel reciprocity is so weak in FDD system that it may be inaccurate for Network to determine the downlink channel status via monitoring the performance of uplink SRS. Therefore, we propose to further study</w:t>
      </w:r>
      <w:r>
        <w:rPr>
          <w:rFonts w:eastAsia="宋体"/>
          <w:color w:val="auto"/>
        </w:rPr>
        <w:t xml:space="preserve"> at least </w:t>
      </w:r>
      <w:r>
        <w:rPr>
          <w:color w:val="auto"/>
        </w:rPr>
        <w:t>the following case for model performance monitoring based on intermediate KPIs in prior,</w:t>
      </w:r>
    </w:p>
    <w:p>
      <w:pPr>
        <w:numPr>
          <w:ilvl w:val="0"/>
          <w:numId w:val="40"/>
        </w:numPr>
        <w:snapToGrid w:val="0"/>
        <w:spacing w:before="72" w:beforeLines="30" w:after="72" w:afterLines="30" w:line="288" w:lineRule="auto"/>
        <w:jc w:val="both"/>
        <w:rPr>
          <w:color w:val="auto"/>
        </w:rPr>
      </w:pPr>
      <w:r>
        <w:rPr>
          <w:color w:val="auto"/>
        </w:rPr>
        <w:t>NW-side monitoring based on the target CSI with realistic channel estimation associated to the CSI report, reported by the UE or obtained from the UE</w:t>
      </w:r>
      <w:r>
        <w:rPr>
          <w:rFonts w:eastAsia="宋体"/>
          <w:color w:val="auto"/>
        </w:rPr>
        <w:t xml:space="preserve"> </w:t>
      </w:r>
      <w:r>
        <w:rPr>
          <w:color w:val="auto"/>
        </w:rPr>
        <w:t xml:space="preserve">side. </w:t>
      </w:r>
    </w:p>
    <w:p>
      <w:pPr>
        <w:pStyle w:val="147"/>
        <w:snapToGrid w:val="0"/>
        <w:spacing w:before="72" w:after="72"/>
        <w:jc w:val="both"/>
        <w:rPr>
          <w:b w:val="0"/>
          <w:color w:val="auto"/>
          <w:szCs w:val="20"/>
          <w:lang w:val="en-US"/>
        </w:rPr>
      </w:pPr>
      <w:bookmarkStart w:id="19" w:name="_Hlk162705102"/>
      <w:r>
        <w:rPr>
          <w:rFonts w:hint="eastAsia"/>
          <w:b w:val="0"/>
          <w:color w:val="auto"/>
          <w:szCs w:val="20"/>
          <w:lang w:val="en-US"/>
        </w:rPr>
        <w:t xml:space="preserve">Prioritize to study the specification impacts on at least the following case for model performance monitoring, </w:t>
      </w:r>
    </w:p>
    <w:p>
      <w:pPr>
        <w:pStyle w:val="113"/>
        <w:numPr>
          <w:ilvl w:val="0"/>
          <w:numId w:val="40"/>
        </w:numPr>
        <w:snapToGrid w:val="0"/>
        <w:spacing w:before="72" w:beforeLines="30" w:after="72" w:afterLines="30" w:line="288" w:lineRule="auto"/>
        <w:ind w:firstLineChars="0"/>
        <w:jc w:val="both"/>
        <w:rPr>
          <w:i/>
          <w:color w:val="auto"/>
        </w:rPr>
      </w:pPr>
      <w:r>
        <w:rPr>
          <w:i/>
          <w:color w:val="auto"/>
        </w:rPr>
        <w:t>NW-side monitoring based on the target CSI with realistic channel estimation associated to the CSI report, reported by the UE.</w:t>
      </w:r>
    </w:p>
    <w:bookmarkEnd w:id="19"/>
    <w:p>
      <w:pPr>
        <w:snapToGrid w:val="0"/>
        <w:spacing w:before="72" w:beforeLines="30" w:after="72" w:afterLines="30" w:line="288" w:lineRule="auto"/>
        <w:jc w:val="both"/>
        <w:rPr>
          <w:b/>
          <w:color w:val="auto"/>
          <w:sz w:val="20"/>
          <w:szCs w:val="20"/>
          <w:u w:val="single"/>
        </w:rPr>
      </w:pPr>
      <w:r>
        <w:rPr>
          <w:b/>
          <w:color w:val="auto"/>
          <w:sz w:val="20"/>
          <w:szCs w:val="20"/>
          <w:u w:val="single"/>
        </w:rPr>
        <w:t>UE-side performance monitoring</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For UE-side performance monitoring, two alternatives were proposed by companies in Rel-18 as below:</w:t>
      </w:r>
    </w:p>
    <w:p>
      <w:pPr>
        <w:pStyle w:val="113"/>
        <w:numPr>
          <w:ilvl w:val="0"/>
          <w:numId w:val="40"/>
        </w:numPr>
        <w:snapToGrid w:val="0"/>
        <w:spacing w:before="72" w:beforeLines="30" w:after="72" w:afterLines="30" w:line="288" w:lineRule="auto"/>
        <w:ind w:firstLineChars="0"/>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p>
      <w:pPr>
        <w:pStyle w:val="113"/>
        <w:numPr>
          <w:ilvl w:val="0"/>
          <w:numId w:val="40"/>
        </w:numPr>
        <w:snapToGrid w:val="0"/>
        <w:spacing w:before="72" w:beforeLines="30" w:after="72" w:afterLines="30" w:line="288" w:lineRule="auto"/>
        <w:ind w:firstLineChars="0"/>
        <w:jc w:val="both"/>
        <w:rPr>
          <w:rFonts w:eastAsiaTheme="minorEastAsia"/>
          <w:color w:val="auto"/>
          <w:sz w:val="20"/>
          <w:szCs w:val="20"/>
        </w:rPr>
      </w:pPr>
      <w:r>
        <w:rPr>
          <w:rFonts w:eastAsiaTheme="minorEastAsia"/>
          <w:color w:val="auto"/>
          <w:sz w:val="20"/>
          <w:szCs w:val="20"/>
        </w:rPr>
        <w:t>Alt 2:</w:t>
      </w:r>
      <w:r>
        <w:rPr>
          <w:color w:val="auto"/>
          <w:sz w:val="20"/>
          <w:szCs w:val="20"/>
        </w:rPr>
        <w:t xml:space="preserve"> UE-side monitoring based on the output CSI transmitted from NW side to UE side</w:t>
      </w:r>
    </w:p>
    <w:p>
      <w:pPr>
        <w:pStyle w:val="113"/>
        <w:numPr>
          <w:ilvl w:val="0"/>
          <w:numId w:val="40"/>
        </w:numPr>
        <w:snapToGrid w:val="0"/>
        <w:spacing w:before="72" w:beforeLines="30" w:after="72" w:afterLines="30" w:line="288" w:lineRule="auto"/>
        <w:ind w:firstLineChars="0"/>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pStyle w:val="113"/>
        <w:numPr>
          <w:ilvl w:val="0"/>
          <w:numId w:val="40"/>
        </w:numPr>
        <w:snapToGrid w:val="0"/>
        <w:spacing w:before="72" w:beforeLines="30" w:after="72" w:afterLines="30" w:line="288" w:lineRule="auto"/>
        <w:ind w:firstLineChars="0"/>
        <w:jc w:val="both"/>
        <w:rPr>
          <w:rFonts w:eastAsiaTheme="minorEastAsia"/>
          <w:color w:val="auto"/>
          <w:sz w:val="20"/>
          <w:szCs w:val="20"/>
        </w:rPr>
      </w:pPr>
      <w:r>
        <w:rPr>
          <w:rFonts w:eastAsiaTheme="minorEastAsia"/>
          <w:color w:val="auto"/>
          <w:sz w:val="20"/>
          <w:szCs w:val="20"/>
        </w:rPr>
        <w:t>Alt 4: UE-side monitoring based on the UE-side proxy model</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We further analyze and summarize the pros and cons of these approaches in the following Table 6.</w:t>
      </w:r>
    </w:p>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Table 6 The analysis on UE-side performance monitoring approaches</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UE-side monitoring alternatives</w:t>
            </w:r>
          </w:p>
        </w:tc>
        <w:tc>
          <w:tcPr>
            <w:tcW w:w="652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tc>
        <w:tc>
          <w:tcPr>
            <w:tcW w:w="6520" w:type="dxa"/>
          </w:tcPr>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Accurate intermediate KPI can be calculated</w:t>
            </w:r>
          </w:p>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Huge burden on the overhead of CSI reconstruction model delivery over the air</w:t>
            </w:r>
          </w:p>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NW-side model proprietary information may be disclosed to UE</w:t>
            </w:r>
          </w:p>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Alt 2: </w:t>
            </w:r>
            <w:r>
              <w:rPr>
                <w:color w:val="auto"/>
                <w:sz w:val="20"/>
                <w:szCs w:val="20"/>
              </w:rPr>
              <w:t>UE-side monitoring based on the output CSI transmitted from NW side to UE side</w:t>
            </w:r>
          </w:p>
        </w:tc>
        <w:tc>
          <w:tcPr>
            <w:tcW w:w="6520" w:type="dxa"/>
          </w:tcPr>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Less transmission overhead compared with Alt 1</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output CSI transmission.</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Quantization loss would be introduced to output CSI due to the quantization type, e.g., codebook-based quantization.</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auto"/>
                <w:sz w:val="20"/>
                <w:szCs w:val="20"/>
              </w:rPr>
            </w:pPr>
          </w:p>
        </w:tc>
        <w:tc>
          <w:tcPr>
            <w:tcW w:w="6520" w:type="dxa"/>
          </w:tcPr>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precoded RS transmission.</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Time span of monitoring process is increased, where two-step procedure is needed to finish performance monitoring.</w:t>
            </w:r>
          </w:p>
          <w:p>
            <w:pPr>
              <w:numPr>
                <w:ilvl w:val="1"/>
                <w:numId w:val="42"/>
              </w:numPr>
              <w:tabs>
                <w:tab w:val="left" w:pos="360"/>
              </w:tabs>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M</w:t>
            </w:r>
            <w:r>
              <w:rPr>
                <w:rFonts w:eastAsiaTheme="minorEastAsia"/>
                <w:color w:val="auto"/>
                <w:sz w:val="20"/>
                <w:szCs w:val="20"/>
              </w:rPr>
              <w:t>onitoring results may not adapt to the channel variation/aging</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tc>
        <w:tc>
          <w:tcPr>
            <w:tcW w:w="6520" w:type="dxa"/>
          </w:tcPr>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No need to transmit CSI reconstruction model or output CSI  </w:t>
            </w:r>
          </w:p>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The weak learning capability of proxy model incurs worse generalization performance according to our observations </w:t>
            </w:r>
          </w:p>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If the proxy model is up to UE implementation and transparent to the Network side, the monitoring performance of the UE-side proxy model is not convincing at NW side since no additional LCM of UE-side proxy model is operated</w:t>
            </w:r>
          </w:p>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Based on the analysis on the three alternatives, each one has some challenging problems to be addressed in actual deployment. Therefore, we propose to deprioritize the study on UE-side performance monitoring in Rel-19 study phase. </w:t>
      </w:r>
    </w:p>
    <w:p>
      <w:pPr>
        <w:pStyle w:val="147"/>
        <w:snapToGrid w:val="0"/>
        <w:spacing w:before="72" w:after="72"/>
        <w:jc w:val="both"/>
        <w:rPr>
          <w:b w:val="0"/>
          <w:color w:val="auto"/>
          <w:sz w:val="20"/>
          <w:szCs w:val="20"/>
          <w:lang w:val="en-US"/>
        </w:rPr>
      </w:pPr>
      <w:bookmarkStart w:id="20" w:name="_Hlk178349686"/>
      <w:bookmarkStart w:id="21" w:name="_Hlk162705133"/>
      <w:r>
        <w:rPr>
          <w:rFonts w:hint="eastAsia"/>
          <w:b w:val="0"/>
          <w:color w:val="auto"/>
          <w:sz w:val="20"/>
          <w:szCs w:val="20"/>
          <w:lang w:val="en-US"/>
        </w:rPr>
        <w:t>In CSI compression using two-sided model use case, deprioritize the study on UE-side monitoring in Rel-19 study phase.</w:t>
      </w:r>
    </w:p>
    <w:bookmarkEnd w:id="20"/>
    <w:p>
      <w:pPr>
        <w:snapToGrid w:val="0"/>
        <w:spacing w:before="72" w:beforeLines="30" w:after="72" w:afterLines="30" w:line="288" w:lineRule="auto"/>
        <w:jc w:val="both"/>
        <w:rPr>
          <w:b/>
          <w:color w:val="auto"/>
          <w:sz w:val="20"/>
          <w:szCs w:val="20"/>
          <w:u w:val="single"/>
        </w:rPr>
      </w:pPr>
      <w:r>
        <w:rPr>
          <w:b/>
          <w:color w:val="auto"/>
          <w:sz w:val="20"/>
          <w:szCs w:val="20"/>
          <w:u w:val="single"/>
        </w:rPr>
        <w:t>Performance monitoring metrics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numPr>
                <w:ilvl w:val="0"/>
                <w:numId w:val="23"/>
              </w:numPr>
              <w:snapToGrid w:val="0"/>
              <w:spacing w:before="72" w:beforeLines="30" w:after="72" w:afterLines="30" w:line="288" w:lineRule="auto"/>
              <w:rPr>
                <w:rFonts w:eastAsia="宋体"/>
                <w:b/>
                <w:bCs/>
                <w:i/>
                <w:iCs/>
                <w:color w:val="auto"/>
                <w:sz w:val="20"/>
                <w:szCs w:val="20"/>
                <w:lang w:bidi="ar"/>
              </w:rPr>
            </w:pPr>
            <w:r>
              <w:rPr>
                <w:rFonts w:eastAsia="宋体"/>
                <w:b/>
                <w:bCs/>
                <w:i/>
                <w:iCs/>
                <w:color w:val="auto"/>
                <w:sz w:val="20"/>
                <w:szCs w:val="20"/>
                <w:lang w:bidi="ar"/>
              </w:rPr>
              <w:t>TR 38.843</w:t>
            </w:r>
          </w:p>
          <w:p>
            <w:pPr>
              <w:pStyle w:val="145"/>
              <w:snapToGrid w:val="0"/>
              <w:spacing w:before="30" w:after="30" w:line="288" w:lineRule="auto"/>
              <w:ind w:left="228" w:leftChars="-28"/>
              <w:rPr>
                <w:color w:val="auto"/>
                <w:sz w:val="20"/>
                <w:szCs w:val="20"/>
                <w:lang w:val="en-US"/>
              </w:rPr>
            </w:pPr>
            <w:r>
              <w:rPr>
                <w:color w:val="auto"/>
                <w:sz w:val="20"/>
                <w:szCs w:val="20"/>
              </w:rPr>
              <w:t>-</w:t>
            </w:r>
            <w:r>
              <w:rPr>
                <w:color w:val="auto"/>
                <w:sz w:val="20"/>
                <w:szCs w:val="20"/>
              </w:rPr>
              <w:tab/>
            </w:r>
            <w:r>
              <w:rPr>
                <w:color w:val="auto"/>
                <w:sz w:val="20"/>
                <w:szCs w:val="20"/>
              </w:rPr>
              <w:t>KPI</w:t>
            </w:r>
            <w:r>
              <w:rPr>
                <w:i/>
                <w:iCs/>
                <w:color w:val="auto"/>
                <w:sz w:val="20"/>
                <w:szCs w:val="20"/>
                <w:vertAlign w:val="subscript"/>
              </w:rPr>
              <w:t>Diff</w:t>
            </w:r>
            <w:r>
              <w:rPr>
                <w:color w:val="auto"/>
                <w:sz w:val="20"/>
                <w:szCs w:val="20"/>
              </w:rPr>
              <w:t xml:space="preserve"> = </w:t>
            </w:r>
            <w:r>
              <w:rPr>
                <w:i/>
                <w:iCs/>
                <w:color w:val="auto"/>
                <w:sz w:val="20"/>
                <w:szCs w:val="20"/>
              </w:rPr>
              <w:t>f</w:t>
            </w:r>
            <w:r>
              <w:rPr>
                <w:color w:val="auto"/>
                <w:sz w:val="20"/>
                <w:szCs w:val="20"/>
              </w:rPr>
              <w:t xml:space="preserve"> ( KPI</w:t>
            </w:r>
            <w:r>
              <w:rPr>
                <w:i/>
                <w:iCs/>
                <w:color w:val="auto"/>
                <w:sz w:val="20"/>
                <w:szCs w:val="20"/>
                <w:vertAlign w:val="subscript"/>
              </w:rPr>
              <w:t>Actual</w:t>
            </w:r>
            <w:r>
              <w:rPr>
                <w:color w:val="auto"/>
                <w:sz w:val="20"/>
                <w:szCs w:val="20"/>
              </w:rPr>
              <w:t xml:space="preserve"> , KPI</w:t>
            </w:r>
            <w:r>
              <w:rPr>
                <w:i/>
                <w:iCs/>
                <w:color w:val="auto"/>
                <w:sz w:val="20"/>
                <w:szCs w:val="20"/>
                <w:vertAlign w:val="subscript"/>
              </w:rPr>
              <w:t>Genie</w:t>
            </w:r>
            <w:r>
              <w:rPr>
                <w:color w:val="auto"/>
                <w:sz w:val="20"/>
                <w:szCs w:val="20"/>
              </w:rPr>
              <w:t xml:space="preserve"> ) ca</w:t>
            </w:r>
            <w:r>
              <w:rPr>
                <w:color w:val="auto"/>
                <w:sz w:val="20"/>
                <w:szCs w:val="20"/>
                <w:lang w:val="en-US"/>
              </w:rPr>
              <w:t xml:space="preserve">n take the following forms: </w:t>
            </w:r>
          </w:p>
          <w:p>
            <w:pPr>
              <w:pStyle w:val="146"/>
              <w:snapToGrid w:val="0"/>
              <w:spacing w:before="30" w:after="30" w:line="288" w:lineRule="auto"/>
              <w:ind w:left="510" w:leftChars="113"/>
              <w:rPr>
                <w:color w:val="auto"/>
                <w:sz w:val="20"/>
                <w:szCs w:val="20"/>
              </w:rPr>
            </w:pPr>
            <w:r>
              <w:rPr>
                <w:color w:val="auto"/>
                <w:sz w:val="20"/>
                <w:szCs w:val="20"/>
              </w:rPr>
              <w:t>-</w:t>
            </w:r>
            <w:r>
              <w:rPr>
                <w:color w:val="auto"/>
                <w:sz w:val="20"/>
                <w:szCs w:val="20"/>
              </w:rPr>
              <w:tab/>
            </w:r>
            <w:r>
              <w:rPr>
                <w:color w:val="auto"/>
                <w:sz w:val="20"/>
                <w:szCs w:val="20"/>
              </w:rPr>
              <w:t>Option 1 (baseline for calibration): Gap between KPI</w:t>
            </w:r>
            <w:r>
              <w:rPr>
                <w:i/>
                <w:iCs/>
                <w:color w:val="auto"/>
                <w:sz w:val="20"/>
                <w:szCs w:val="20"/>
                <w:vertAlign w:val="subscript"/>
              </w:rPr>
              <w:t>Actual</w:t>
            </w:r>
            <w:r>
              <w:rPr>
                <w:color w:val="auto"/>
                <w:sz w:val="20"/>
                <w:szCs w:val="20"/>
              </w:rPr>
              <w:t xml:space="preserve"> and KPI</w:t>
            </w:r>
            <w:r>
              <w:rPr>
                <w:i/>
                <w:iCs/>
                <w:color w:val="auto"/>
                <w:sz w:val="20"/>
                <w:szCs w:val="20"/>
                <w:vertAlign w:val="subscript"/>
              </w:rPr>
              <w:t>Genie</w:t>
            </w:r>
            <w:r>
              <w:rPr>
                <w:color w:val="auto"/>
                <w:sz w:val="20"/>
                <w:szCs w:val="20"/>
              </w:rPr>
              <w:t>, i.e. KPI</w:t>
            </w:r>
            <w:r>
              <w:rPr>
                <w:i/>
                <w:iCs/>
                <w:color w:val="auto"/>
                <w:sz w:val="20"/>
                <w:szCs w:val="20"/>
                <w:vertAlign w:val="subscript"/>
              </w:rPr>
              <w:t>Diff</w:t>
            </w:r>
            <w:r>
              <w:rPr>
                <w:color w:val="auto"/>
                <w:sz w:val="20"/>
                <w:szCs w:val="20"/>
              </w:rPr>
              <w:t xml:space="preserve"> = (KPI</w:t>
            </w:r>
            <w:r>
              <w:rPr>
                <w:i/>
                <w:iCs/>
                <w:color w:val="auto"/>
                <w:sz w:val="20"/>
                <w:szCs w:val="20"/>
                <w:vertAlign w:val="subscript"/>
              </w:rPr>
              <w:t>Actual</w:t>
            </w:r>
            <w:r>
              <w:rPr>
                <w:color w:val="auto"/>
                <w:sz w:val="20"/>
                <w:szCs w:val="20"/>
              </w:rPr>
              <w:t xml:space="preserve"> - KPI</w:t>
            </w:r>
            <w:r>
              <w:rPr>
                <w:i/>
                <w:iCs/>
                <w:color w:val="auto"/>
                <w:sz w:val="20"/>
                <w:szCs w:val="20"/>
                <w:vertAlign w:val="subscript"/>
              </w:rPr>
              <w:t>Genie</w:t>
            </w:r>
            <w:r>
              <w:rPr>
                <w:color w:val="auto"/>
                <w:sz w:val="20"/>
                <w:szCs w:val="20"/>
              </w:rPr>
              <w:t>); Monitoring accuracy is the percentage of samples for which | KPI</w:t>
            </w:r>
            <w:r>
              <w:rPr>
                <w:i/>
                <w:iCs/>
                <w:color w:val="auto"/>
                <w:sz w:val="20"/>
                <w:szCs w:val="20"/>
                <w:vertAlign w:val="subscript"/>
              </w:rPr>
              <w:t>Diff</w:t>
            </w:r>
            <w:r>
              <w:rPr>
                <w:color w:val="auto"/>
                <w:sz w:val="20"/>
                <w:szCs w:val="20"/>
              </w:rPr>
              <w:t>| &lt; KPI</w:t>
            </w:r>
            <w:r>
              <w:rPr>
                <w:i/>
                <w:iCs/>
                <w:color w:val="auto"/>
                <w:sz w:val="20"/>
                <w:szCs w:val="20"/>
                <w:vertAlign w:val="subscript"/>
              </w:rPr>
              <w:t>th 1</w:t>
            </w:r>
            <w:r>
              <w:rPr>
                <w:color w:val="auto"/>
                <w:sz w:val="20"/>
                <w:szCs w:val="20"/>
              </w:rPr>
              <w:t>, where KPI</w:t>
            </w:r>
            <w:r>
              <w:rPr>
                <w:i/>
                <w:iCs/>
                <w:color w:val="auto"/>
                <w:sz w:val="20"/>
                <w:szCs w:val="20"/>
                <w:vertAlign w:val="subscript"/>
              </w:rPr>
              <w:t>th 1</w:t>
            </w:r>
            <w:r>
              <w:rPr>
                <w:color w:val="auto"/>
                <w:sz w:val="20"/>
                <w:szCs w:val="20"/>
              </w:rPr>
              <w:t xml:space="preserve"> is a threshold of the intermediate KPI gap which can take the following values: </w:t>
            </w:r>
            <w:r>
              <w:rPr>
                <w:bCs/>
                <w:color w:val="auto"/>
                <w:sz w:val="20"/>
                <w:szCs w:val="20"/>
                <w:lang w:eastAsia="zh-CN"/>
              </w:rPr>
              <w:t>0.02, 0.05 and 0.1</w:t>
            </w:r>
            <w:r>
              <w:rPr>
                <w:color w:val="auto"/>
                <w:sz w:val="20"/>
                <w:szCs w:val="20"/>
              </w:rPr>
              <w:t>.</w:t>
            </w:r>
          </w:p>
          <w:p>
            <w:pPr>
              <w:pStyle w:val="146"/>
              <w:snapToGrid w:val="0"/>
              <w:spacing w:before="30" w:after="30" w:line="288" w:lineRule="auto"/>
              <w:ind w:left="510" w:leftChars="113"/>
              <w:rPr>
                <w:color w:val="auto"/>
                <w:sz w:val="20"/>
                <w:szCs w:val="20"/>
              </w:rPr>
            </w:pPr>
            <w:r>
              <w:rPr>
                <w:color w:val="auto"/>
                <w:sz w:val="20"/>
                <w:szCs w:val="20"/>
              </w:rPr>
              <w:t>-</w:t>
            </w:r>
            <w:r>
              <w:rPr>
                <w:color w:val="auto"/>
                <w:sz w:val="20"/>
                <w:szCs w:val="20"/>
              </w:rPr>
              <w:tab/>
            </w:r>
            <w:r>
              <w:rPr>
                <w:color w:val="auto"/>
                <w:sz w:val="20"/>
                <w:szCs w:val="20"/>
              </w:rPr>
              <w:t>Option 2 (optional and up to companies to report): Binary state where KPI</w:t>
            </w:r>
            <w:r>
              <w:rPr>
                <w:i/>
                <w:iCs/>
                <w:color w:val="auto"/>
                <w:sz w:val="20"/>
                <w:szCs w:val="20"/>
                <w:vertAlign w:val="subscript"/>
              </w:rPr>
              <w:t>Actual</w:t>
            </w:r>
            <w:r>
              <w:rPr>
                <w:color w:val="auto"/>
                <w:sz w:val="20"/>
                <w:szCs w:val="20"/>
              </w:rPr>
              <w:t xml:space="preserve"> and KPI</w:t>
            </w:r>
            <w:r>
              <w:rPr>
                <w:i/>
                <w:iCs/>
                <w:color w:val="auto"/>
                <w:sz w:val="20"/>
                <w:szCs w:val="20"/>
                <w:vertAlign w:val="subscript"/>
              </w:rPr>
              <w:t>Genie</w:t>
            </w:r>
            <w:r>
              <w:rPr>
                <w:color w:val="auto"/>
                <w:sz w:val="20"/>
                <w:szCs w:val="20"/>
              </w:rPr>
              <w:t>, have different relationships to their threshold(s), i.e., KPI</w:t>
            </w:r>
            <w:r>
              <w:rPr>
                <w:i/>
                <w:iCs/>
                <w:color w:val="auto"/>
                <w:sz w:val="20"/>
                <w:szCs w:val="20"/>
                <w:vertAlign w:val="subscript"/>
              </w:rPr>
              <w:t>Diff</w:t>
            </w:r>
            <w:r>
              <w:rPr>
                <w:color w:val="auto"/>
                <w:sz w:val="20"/>
                <w:szCs w:val="20"/>
              </w:rPr>
              <w:t xml:space="preserve"> = (KPI</w:t>
            </w:r>
            <w:r>
              <w:rPr>
                <w:i/>
                <w:iCs/>
                <w:color w:val="auto"/>
                <w:sz w:val="20"/>
                <w:szCs w:val="20"/>
                <w:vertAlign w:val="subscript"/>
              </w:rPr>
              <w:t>Actual</w:t>
            </w:r>
            <w:r>
              <w:rPr>
                <w:color w:val="auto"/>
                <w:sz w:val="20"/>
                <w:szCs w:val="20"/>
              </w:rPr>
              <w:t xml:space="preserve"> &gt; KPI</w:t>
            </w:r>
            <w:r>
              <w:rPr>
                <w:i/>
                <w:iCs/>
                <w:color w:val="auto"/>
                <w:sz w:val="20"/>
                <w:szCs w:val="20"/>
                <w:vertAlign w:val="subscript"/>
              </w:rPr>
              <w:t>th 2</w:t>
            </w:r>
            <w:r>
              <w:rPr>
                <w:color w:val="auto"/>
                <w:sz w:val="20"/>
                <w:szCs w:val="20"/>
              </w:rPr>
              <w:t>, KPI</w:t>
            </w:r>
            <w:r>
              <w:rPr>
                <w:i/>
                <w:iCs/>
                <w:color w:val="auto"/>
                <w:sz w:val="20"/>
                <w:szCs w:val="20"/>
                <w:vertAlign w:val="subscript"/>
              </w:rPr>
              <w:t>Genie</w:t>
            </w:r>
            <w:r>
              <w:rPr>
                <w:color w:val="auto"/>
                <w:sz w:val="20"/>
                <w:szCs w:val="20"/>
              </w:rPr>
              <w:t xml:space="preserve"> &lt; KPI</w:t>
            </w:r>
            <w:r>
              <w:rPr>
                <w:i/>
                <w:iCs/>
                <w:color w:val="auto"/>
                <w:sz w:val="20"/>
                <w:szCs w:val="20"/>
                <w:vertAlign w:val="subscript"/>
              </w:rPr>
              <w:t>th 3</w:t>
            </w:r>
            <w:r>
              <w:rPr>
                <w:color w:val="auto"/>
                <w:sz w:val="20"/>
                <w:szCs w:val="20"/>
              </w:rPr>
              <w:t>) OR (KPI</w:t>
            </w:r>
            <w:r>
              <w:rPr>
                <w:i/>
                <w:iCs/>
                <w:color w:val="auto"/>
                <w:sz w:val="20"/>
                <w:szCs w:val="20"/>
                <w:vertAlign w:val="subscript"/>
              </w:rPr>
              <w:t>Actual</w:t>
            </w:r>
            <w:r>
              <w:rPr>
                <w:color w:val="auto"/>
                <w:sz w:val="20"/>
                <w:szCs w:val="20"/>
              </w:rPr>
              <w:t xml:space="preserve"> &lt; KPI</w:t>
            </w:r>
            <w:r>
              <w:rPr>
                <w:i/>
                <w:iCs/>
                <w:color w:val="auto"/>
                <w:sz w:val="20"/>
                <w:szCs w:val="20"/>
                <w:vertAlign w:val="subscript"/>
              </w:rPr>
              <w:t>th 2</w:t>
            </w:r>
            <w:r>
              <w:rPr>
                <w:color w:val="auto"/>
                <w:sz w:val="20"/>
                <w:szCs w:val="20"/>
              </w:rPr>
              <w:t>, KPI</w:t>
            </w:r>
            <w:r>
              <w:rPr>
                <w:i/>
                <w:iCs/>
                <w:color w:val="auto"/>
                <w:sz w:val="20"/>
                <w:szCs w:val="20"/>
                <w:vertAlign w:val="subscript"/>
              </w:rPr>
              <w:t>Genie</w:t>
            </w:r>
            <w:r>
              <w:rPr>
                <w:color w:val="auto"/>
                <w:sz w:val="20"/>
                <w:szCs w:val="20"/>
              </w:rPr>
              <w:t xml:space="preserve"> &gt; KPI</w:t>
            </w:r>
            <w:r>
              <w:rPr>
                <w:i/>
                <w:iCs/>
                <w:color w:val="auto"/>
                <w:sz w:val="20"/>
                <w:szCs w:val="20"/>
                <w:vertAlign w:val="subscript"/>
              </w:rPr>
              <w:t>th 3</w:t>
            </w:r>
            <w:r>
              <w:rPr>
                <w:color w:val="auto"/>
                <w:sz w:val="20"/>
                <w:szCs w:val="20"/>
              </w:rPr>
              <w:t>), where KPI</w:t>
            </w:r>
            <w:r>
              <w:rPr>
                <w:i/>
                <w:iCs/>
                <w:color w:val="auto"/>
                <w:sz w:val="20"/>
                <w:szCs w:val="20"/>
                <w:vertAlign w:val="subscript"/>
              </w:rPr>
              <w:t>th 2</w:t>
            </w:r>
            <w:r>
              <w:rPr>
                <w:color w:val="auto"/>
                <w:sz w:val="20"/>
                <w:szCs w:val="20"/>
              </w:rPr>
              <w:t xml:space="preserve"> is considered to be the same as KPI</w:t>
            </w:r>
            <w:r>
              <w:rPr>
                <w:i/>
                <w:iCs/>
                <w:color w:val="auto"/>
                <w:sz w:val="20"/>
                <w:szCs w:val="20"/>
                <w:vertAlign w:val="subscript"/>
              </w:rPr>
              <w:t>th 3</w:t>
            </w:r>
            <w:r>
              <w:rPr>
                <w:color w:val="auto"/>
                <w:sz w:val="20"/>
                <w:szCs w:val="20"/>
              </w:rPr>
              <w:t>. Monitoring accuracy is the percentage of samples for which KPI</w:t>
            </w:r>
            <w:r>
              <w:rPr>
                <w:i/>
                <w:iCs/>
                <w:color w:val="auto"/>
                <w:sz w:val="20"/>
                <w:szCs w:val="20"/>
                <w:vertAlign w:val="subscript"/>
              </w:rPr>
              <w:t>Diff</w:t>
            </w:r>
            <w:r>
              <w:rPr>
                <w:color w:val="auto"/>
                <w:sz w:val="20"/>
                <w:szCs w:val="20"/>
              </w:rPr>
              <w:t xml:space="preserve"> = 0. </w:t>
            </w:r>
          </w:p>
        </w:tc>
      </w:tr>
    </w:tbl>
    <w:p>
      <w:pPr>
        <w:tabs>
          <w:tab w:val="left" w:pos="990"/>
        </w:tabs>
        <w:adjustRightInd w:val="0"/>
        <w:snapToGrid w:val="0"/>
        <w:spacing w:before="72" w:beforeLines="30" w:after="72" w:afterLines="30" w:line="288" w:lineRule="auto"/>
        <w:jc w:val="both"/>
        <w:rPr>
          <w:rFonts w:eastAsia="宋体"/>
          <w:color w:val="auto"/>
          <w:sz w:val="20"/>
          <w:szCs w:val="20"/>
        </w:rPr>
      </w:pPr>
      <w:r>
        <w:rPr>
          <w:rFonts w:eastAsia="宋体"/>
          <w:color w:val="auto"/>
          <w:sz w:val="20"/>
          <w:szCs w:val="20"/>
        </w:rPr>
        <w:t xml:space="preserve">According to the </w:t>
      </w:r>
      <w:r>
        <w:rPr>
          <w:rFonts w:hint="eastAsia" w:eastAsia="宋体"/>
          <w:color w:val="auto"/>
          <w:sz w:val="20"/>
          <w:szCs w:val="20"/>
        </w:rPr>
        <w:t>above</w:t>
      </w:r>
      <w:r>
        <w:rPr>
          <w:rFonts w:eastAsia="宋体"/>
          <w:color w:val="auto"/>
          <w:sz w:val="20"/>
          <w:szCs w:val="20"/>
        </w:rPr>
        <w:t xml:space="preserve"> evaluation methodology of performance monitoring in TR38.843</w:t>
      </w:r>
      <w:r>
        <w:rPr>
          <w:rFonts w:eastAsia="宋体"/>
          <w:color w:val="auto"/>
          <w:sz w:val="20"/>
          <w:szCs w:val="20"/>
          <w:vertAlign w:val="superscript"/>
        </w:rPr>
        <w:t>[6]</w:t>
      </w:r>
      <w:r>
        <w:rPr>
          <w:rFonts w:eastAsia="宋体"/>
          <w:color w:val="auto"/>
          <w:sz w:val="20"/>
          <w:szCs w:val="20"/>
        </w:rPr>
        <w:t>, the monitoring KPI is just defined to evaluate the case of Rank 1 in Rel-18 study. However, the majority of companies provided the SLS results for rank&gt;1, e.g., Rank 2. In addition, CSI feedback for rank&gt;1 is common in MU scheduling in the real communication system. Therefore, it is essential to study a set of appropriate monitoring methodology and reasonable monitoring metrics for the given KPI under rank&gt;1.</w:t>
      </w:r>
    </w:p>
    <w:p>
      <w:pPr>
        <w:pStyle w:val="147"/>
        <w:snapToGrid w:val="0"/>
        <w:spacing w:before="72" w:after="72"/>
        <w:jc w:val="both"/>
        <w:rPr>
          <w:b w:val="0"/>
          <w:color w:val="auto"/>
          <w:sz w:val="20"/>
          <w:szCs w:val="20"/>
          <w:lang w:val="en-US"/>
        </w:rPr>
      </w:pPr>
      <w:bookmarkStart w:id="22" w:name="_Hlk178349697"/>
      <w:r>
        <w:rPr>
          <w:rFonts w:hint="eastAsia"/>
          <w:b w:val="0"/>
          <w:color w:val="auto"/>
          <w:sz w:val="20"/>
          <w:szCs w:val="20"/>
          <w:lang w:val="en-US"/>
        </w:rPr>
        <w:t>In CSI compression using two-sided model use case, further study a set of appropriate monitoring methodology and reasonable monitoring metrics for the given KPI under rank&gt;1.</w:t>
      </w:r>
    </w:p>
    <w:p>
      <w:pPr>
        <w:pStyle w:val="147"/>
        <w:numPr>
          <w:ilvl w:val="0"/>
          <w:numId w:val="0"/>
        </w:numPr>
        <w:snapToGrid w:val="0"/>
        <w:spacing w:before="72" w:after="72"/>
        <w:jc w:val="both"/>
        <w:rPr>
          <w:b w:val="0"/>
          <w:color w:val="auto"/>
          <w:szCs w:val="20"/>
          <w:lang w:val="en-US"/>
        </w:rPr>
      </w:pPr>
    </w:p>
    <w:bookmarkEnd w:id="21"/>
    <w:bookmarkEnd w:id="22"/>
    <w:p>
      <w:pPr>
        <w:numPr>
          <w:ilvl w:val="0"/>
          <w:numId w:val="10"/>
        </w:numPr>
        <w:pBdr>
          <w:top w:val="single" w:color="auto" w:sz="8" w:space="1"/>
        </w:pBdr>
        <w:tabs>
          <w:tab w:val="left" w:pos="576"/>
        </w:tabs>
        <w:snapToGrid w:val="0"/>
        <w:spacing w:before="72" w:beforeLines="30" w:after="72" w:afterLines="30" w:line="288" w:lineRule="auto"/>
        <w:jc w:val="both"/>
        <w:outlineLvl w:val="0"/>
        <w:rPr>
          <w:rFonts w:hint="eastAsia" w:eastAsia="宋体"/>
          <w:b/>
          <w:color w:val="auto"/>
          <w:sz w:val="28"/>
          <w:szCs w:val="28"/>
          <w:highlight w:val="none"/>
        </w:rPr>
      </w:pPr>
      <w:r>
        <w:rPr>
          <w:rFonts w:hint="eastAsia" w:eastAsia="宋体"/>
          <w:b/>
          <w:color w:val="auto"/>
          <w:sz w:val="28"/>
          <w:szCs w:val="28"/>
          <w:highlight w:val="none"/>
        </w:rPr>
        <w:t>Conclusion</w:t>
      </w:r>
    </w:p>
    <w:p>
      <w:pPr>
        <w:keepNext w:val="0"/>
        <w:keepLines w:val="0"/>
        <w:pageBreakBefore w:val="0"/>
        <w:widowControl w:val="0"/>
        <w:kinsoku/>
        <w:wordWrap/>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color w:val="auto"/>
        </w:rPr>
      </w:pPr>
      <w:r>
        <w:rPr>
          <w:rFonts w:hint="default" w:ascii="Times New Roman" w:hAnsi="Times New Roman" w:cs="Times New Roman"/>
          <w:color w:val="auto"/>
        </w:rPr>
        <w:t>In this contribution, we discuss the inter-vendor collaboration issues and some remaining issues in Rel-18. We have the following observations and proposals:</w:t>
      </w:r>
    </w:p>
    <w:p>
      <w:pPr>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color w:val="auto"/>
          <w:szCs w:val="20"/>
          <w:u w:val="single"/>
        </w:rPr>
      </w:pPr>
      <w:r>
        <w:rPr>
          <w:rFonts w:hint="default" w:ascii="Times New Roman" w:hAnsi="Times New Roman" w:eastAsia="宋体" w:cs="Times New Roman"/>
          <w:b/>
          <w:color w:val="auto"/>
          <w:szCs w:val="20"/>
          <w:u w:val="single"/>
        </w:rPr>
        <w:t>General views</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To reduce the efforts for specification impact analysis and standardization, conduct comparison between Case 2 and Case 3 for potential down selection.</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Conduct further evaluations and comparisons of different inter-vendor training collaboration options for feasibility study and potential down selection.</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color w:val="auto"/>
        </w:rPr>
      </w:pPr>
      <w:r>
        <w:rPr>
          <w:rFonts w:hint="default" w:ascii="Times New Roman" w:hAnsi="Times New Roman" w:cs="Times New Roman"/>
          <w:b w:val="0"/>
          <w:color w:val="auto"/>
          <w:szCs w:val="20"/>
          <w:lang w:val="en-US"/>
        </w:rPr>
        <w:t xml:space="preserve">The specification impact analysis related to the inter-vendor training collaboration of AI/ML-based CSI compression should be deferred until the feasibility study and comparison of different options are concluded. </w:t>
      </w:r>
    </w:p>
    <w:p>
      <w:pPr>
        <w:pStyle w:val="147"/>
        <w:keepNext w:val="0"/>
        <w:keepLines w:val="0"/>
        <w:pageBreakBefore w:val="0"/>
        <w:numPr>
          <w:numId w:val="0"/>
        </w:numPr>
        <w:kinsoku/>
        <w:wordWrap/>
        <w:topLinePunct w:val="0"/>
        <w:autoSpaceDE/>
        <w:autoSpaceDN/>
        <w:bidi w:val="0"/>
        <w:snapToGrid w:val="0"/>
        <w:spacing w:before="109" w:beforeLines="30" w:after="109" w:afterLines="30"/>
        <w:ind w:leftChars="0"/>
        <w:jc w:val="both"/>
        <w:textAlignment w:val="auto"/>
        <w:rPr>
          <w:rFonts w:hint="default" w:ascii="Times New Roman" w:hAnsi="Times New Roman" w:cs="Times New Roman"/>
          <w:color w:val="auto"/>
        </w:rPr>
      </w:pPr>
    </w:p>
    <w:p>
      <w:pPr>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color w:val="auto"/>
          <w:szCs w:val="20"/>
          <w:u w:val="single"/>
        </w:rPr>
      </w:pPr>
      <w:r>
        <w:rPr>
          <w:rFonts w:hint="default" w:ascii="Times New Roman" w:hAnsi="Times New Roman" w:eastAsia="宋体" w:cs="Times New Roman"/>
          <w:b/>
          <w:color w:val="auto"/>
          <w:szCs w:val="20"/>
          <w:u w:val="single"/>
        </w:rPr>
        <w:t>Inter-vendor training collaboration</w:t>
      </w:r>
    </w:p>
    <w:p>
      <w:pPr>
        <w:pStyle w:val="113"/>
        <w:keepNext w:val="0"/>
        <w:keepLines w:val="0"/>
        <w:pageBreakBefore w:val="0"/>
        <w:widowControl w:val="0"/>
        <w:numPr>
          <w:ilvl w:val="0"/>
          <w:numId w:val="45"/>
        </w:numPr>
        <w:kinsoku/>
        <w:wordWrap/>
        <w:topLinePunct w:val="0"/>
        <w:autoSpaceDE/>
        <w:autoSpaceDN/>
        <w:bidi w:val="0"/>
        <w:snapToGrid w:val="0"/>
        <w:spacing w:before="109" w:beforeLines="30" w:after="109" w:afterLines="30" w:line="288" w:lineRule="auto"/>
        <w:ind w:firstLineChars="0"/>
        <w:jc w:val="both"/>
        <w:textAlignment w:val="auto"/>
        <w:rPr>
          <w:rFonts w:hint="default" w:ascii="Times New Roman" w:hAnsi="Times New Roman" w:cs="Times New Roman" w:eastAsiaTheme="minorEastAsia"/>
          <w:i/>
          <w:color w:val="auto"/>
          <w:lang w:bidi="ar"/>
        </w:rPr>
      </w:pPr>
      <w:r>
        <w:rPr>
          <w:rFonts w:hint="default" w:ascii="Times New Roman" w:hAnsi="Times New Roman" w:eastAsia="宋体" w:cs="Times New Roman"/>
          <w:b/>
          <w:color w:val="auto"/>
          <w:szCs w:val="20"/>
          <w:u w:val="single"/>
        </w:rPr>
        <w:t xml:space="preserve">Direction A </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sub-option 3a-1 of Direction A, at least performance target should be shared from NW-side to UE-side to enable UE-side encoder training, validation, and testing.</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 xml:space="preserve">For sub-option 3a-1 of Direction A, </w:t>
      </w:r>
      <w:r>
        <w:rPr>
          <w:rFonts w:hint="default" w:ascii="Times New Roman" w:hAnsi="Times New Roman" w:cs="Times New Roman"/>
          <w:b w:val="0"/>
          <w:bCs w:val="0"/>
          <w:color w:val="auto"/>
          <w:szCs w:val="20"/>
          <w:lang w:val="en-US"/>
        </w:rPr>
        <w:t>additional dataset for UE-side encoder retraining can be collected by UE implementations</w:t>
      </w:r>
      <w:r>
        <w:rPr>
          <w:rFonts w:hint="default" w:ascii="Times New Roman" w:hAnsi="Times New Roman" w:cs="Times New Roman"/>
          <w:b w:val="0"/>
          <w:color w:val="auto"/>
          <w:szCs w:val="20"/>
          <w:lang w:val="en-US"/>
        </w:rPr>
        <w:t xml:space="preserve">, while the sharing of target CSI from NW-side to UE-side is not </w:t>
      </w:r>
      <w:r>
        <w:rPr>
          <w:rFonts w:hint="default" w:ascii="Times New Roman" w:hAnsi="Times New Roman" w:cs="Times New Roman"/>
          <w:b w:val="0"/>
          <w:bCs w:val="0"/>
          <w:color w:val="auto"/>
          <w:szCs w:val="20"/>
          <w:lang w:val="en-US"/>
        </w:rPr>
        <w:t>essential.</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sub-option 4-1 of Direction A, performance target and model backbone information should be shared from NW-side to UE-side to enable UE-side encoder training, validation, and testing.</w:t>
      </w:r>
    </w:p>
    <w:p>
      <w:pPr>
        <w:keepNext w:val="0"/>
        <w:keepLines w:val="0"/>
        <w:pageBreakBefore w:val="0"/>
        <w:widowControl w:val="0"/>
        <w:kinsoku/>
        <w:wordWrap/>
        <w:topLinePunct w:val="0"/>
        <w:autoSpaceDE/>
        <w:autoSpaceDN/>
        <w:bidi w:val="0"/>
        <w:snapToGrid w:val="0"/>
        <w:spacing w:before="109" w:beforeLines="30" w:after="109" w:afterLines="30" w:line="288" w:lineRule="auto"/>
        <w:jc w:val="both"/>
        <w:textAlignment w:val="auto"/>
        <w:rPr>
          <w:rFonts w:hint="default" w:ascii="Times New Roman" w:hAnsi="Times New Roman" w:eastAsia="宋体" w:cs="Times New Roman"/>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1</w:t>
      </w:r>
      <w:r>
        <w:rPr>
          <w:rFonts w:hint="default" w:ascii="Times New Roman" w:hAnsi="Times New Roman" w:cs="Times New Roman" w:eastAsiaTheme="minorEastAsia"/>
          <w:b/>
          <w:i/>
          <w:color w:val="auto"/>
        </w:rPr>
        <w:t xml:space="preserve">: </w:t>
      </w:r>
      <w:r>
        <w:rPr>
          <w:rFonts w:hint="default" w:ascii="Times New Roman" w:hAnsi="Times New Roman" w:cs="Times New Roman" w:eastAsiaTheme="minorEastAsia"/>
          <w:i/>
          <w:color w:val="auto"/>
        </w:rPr>
        <w:t xml:space="preserve">For sub-options 3a-1 and 4-1 of Direction A, </w:t>
      </w:r>
      <w:r>
        <w:rPr>
          <w:rFonts w:hint="default" w:ascii="Times New Roman" w:hAnsi="Times New Roman" w:eastAsia="等线" w:cs="Times New Roman"/>
          <w:i/>
          <w:color w:val="auto"/>
        </w:rPr>
        <w:t>t</w:t>
      </w:r>
      <w:r>
        <w:rPr>
          <w:rFonts w:hint="default" w:ascii="Times New Roman" w:hAnsi="Times New Roman" w:cs="Times New Roman"/>
          <w:i/>
          <w:color w:val="auto"/>
        </w:rPr>
        <w:t xml:space="preserve">here is no proprietary information concern </w:t>
      </w:r>
      <w:r>
        <w:rPr>
          <w:rFonts w:hint="default" w:ascii="Times New Roman" w:hAnsi="Times New Roman" w:eastAsia="等线" w:cs="Times New Roman"/>
          <w:i/>
          <w:color w:val="auto"/>
        </w:rPr>
        <w:t xml:space="preserve">of </w:t>
      </w:r>
      <w:r>
        <w:rPr>
          <w:rFonts w:hint="default" w:ascii="Times New Roman" w:hAnsi="Times New Roman" w:cs="Times New Roman"/>
          <w:i/>
          <w:color w:val="auto"/>
        </w:rPr>
        <w:t xml:space="preserve">disclosing </w:t>
      </w:r>
      <w:r>
        <w:rPr>
          <w:rFonts w:hint="default" w:ascii="Times New Roman" w:hAnsi="Times New Roman" w:eastAsia="宋体" w:cs="Times New Roman"/>
          <w:i/>
          <w:color w:val="auto"/>
        </w:rPr>
        <w:t>p</w:t>
      </w:r>
      <w:r>
        <w:rPr>
          <w:rFonts w:hint="default" w:ascii="Times New Roman" w:hAnsi="Times New Roman" w:cs="Times New Roman"/>
          <w:i/>
          <w:color w:val="auto"/>
        </w:rPr>
        <w:t>erformance requirements from NW side to UE side</w:t>
      </w:r>
      <w:r>
        <w:rPr>
          <w:rFonts w:hint="default" w:ascii="Times New Roman" w:hAnsi="Times New Roman" w:eastAsia="宋体" w:cs="Times New Roman"/>
          <w:i/>
          <w:color w:val="auto"/>
        </w:rPr>
        <w:t>.</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sub-option 4-1 of Direction A, the model backbone or structure information can only be shared to the opposite node if the proprietary information of the NW side can be maintained.</w:t>
      </w:r>
    </w:p>
    <w:p>
      <w:pPr>
        <w:keepNext w:val="0"/>
        <w:keepLines w:val="0"/>
        <w:pageBreakBefore w:val="0"/>
        <w:widowControl w:val="0"/>
        <w:kinsoku/>
        <w:wordWrap/>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2</w:t>
      </w:r>
      <w:r>
        <w:rPr>
          <w:rFonts w:hint="default" w:ascii="Times New Roman" w:hAnsi="Times New Roman" w:cs="Times New Roman" w:eastAsiaTheme="minorEastAsia"/>
          <w:b/>
          <w:i/>
          <w:color w:val="auto"/>
        </w:rPr>
        <w:t xml:space="preserve">: </w:t>
      </w:r>
      <w:r>
        <w:rPr>
          <w:rFonts w:hint="default" w:ascii="Times New Roman" w:hAnsi="Times New Roman" w:cs="Times New Roman" w:eastAsiaTheme="minorEastAsia"/>
          <w:i/>
          <w:color w:val="auto"/>
        </w:rPr>
        <w:t>For Direction A, sub-option 4-1 faces serious overhead concerns, while sub-options 3a-1 incur much lower overhead due to the nature of their parameter exchange mechanisms.</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data distribution mismatch with respect to NW-side additional conditions for Direction A, it can be resolved by the indication of associated ID which implicitly abstracts the NW-side additional conditions.</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data distribution mismatch with respect to UE-side additional conditions for Direction A, it can be resolved by NW side timely data collection and subsequent update of delivered dataset/parameter to the UE side.</w:t>
      </w:r>
    </w:p>
    <w:p>
      <w:pPr>
        <w:pStyle w:val="113"/>
        <w:keepNext w:val="0"/>
        <w:keepLines w:val="0"/>
        <w:pageBreakBefore w:val="0"/>
        <w:widowControl w:val="0"/>
        <w:numPr>
          <w:numId w:val="0"/>
        </w:numPr>
        <w:kinsoku/>
        <w:wordWrap/>
        <w:topLinePunct w:val="0"/>
        <w:autoSpaceDE/>
        <w:autoSpaceDN/>
        <w:bidi w:val="0"/>
        <w:snapToGrid w:val="0"/>
        <w:spacing w:before="109" w:beforeLines="30" w:after="109" w:afterLines="30" w:line="288" w:lineRule="auto"/>
        <w:ind w:leftChars="0"/>
        <w:jc w:val="both"/>
        <w:textAlignment w:val="auto"/>
        <w:rPr>
          <w:rFonts w:hint="default" w:ascii="Times New Roman" w:hAnsi="Times New Roman" w:cs="Times New Roman" w:eastAsiaTheme="minorEastAsia"/>
          <w:i/>
          <w:color w:val="auto"/>
          <w:lang w:bidi="ar"/>
        </w:rPr>
      </w:pPr>
    </w:p>
    <w:p>
      <w:pPr>
        <w:pStyle w:val="113"/>
        <w:keepNext w:val="0"/>
        <w:keepLines w:val="0"/>
        <w:pageBreakBefore w:val="0"/>
        <w:widowControl w:val="0"/>
        <w:numPr>
          <w:ilvl w:val="0"/>
          <w:numId w:val="45"/>
        </w:numPr>
        <w:kinsoku/>
        <w:wordWrap/>
        <w:topLinePunct w:val="0"/>
        <w:autoSpaceDE/>
        <w:autoSpaceDN/>
        <w:bidi w:val="0"/>
        <w:snapToGrid w:val="0"/>
        <w:spacing w:before="109" w:beforeLines="30" w:after="109" w:afterLines="30" w:line="288" w:lineRule="auto"/>
        <w:ind w:firstLineChars="0"/>
        <w:jc w:val="both"/>
        <w:textAlignment w:val="auto"/>
        <w:rPr>
          <w:rFonts w:hint="default" w:ascii="Times New Roman" w:hAnsi="Times New Roman" w:cs="Times New Roman" w:eastAsiaTheme="minorEastAsia"/>
          <w:i/>
          <w:color w:val="auto"/>
          <w:lang w:bidi="ar"/>
        </w:rPr>
      </w:pPr>
      <w:r>
        <w:rPr>
          <w:rFonts w:hint="default" w:ascii="Times New Roman" w:hAnsi="Times New Roman" w:eastAsia="宋体" w:cs="Times New Roman"/>
          <w:b/>
          <w:color w:val="auto"/>
          <w:szCs w:val="20"/>
          <w:u w:val="single"/>
        </w:rPr>
        <w:t>Direction B</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Direction B, it may be infeasible for the NW side to train multiple encoders tailored to different UEs due to the potential UE proprietary information disclosure risks and offline collaboration efforts.</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 xml:space="preserve">For Direction B, the implementation of universal encoder across various UEs may </w:t>
      </w:r>
      <w:r>
        <w:rPr>
          <w:rFonts w:hint="default" w:ascii="Times New Roman" w:hAnsi="Times New Roman" w:cs="Times New Roman"/>
          <w:b w:val="0"/>
          <w:color w:val="auto"/>
          <w:szCs w:val="20"/>
          <w:lang w:val="en-US" w:eastAsia="zh-CN"/>
        </w:rPr>
        <w:t xml:space="preserve">or may not </w:t>
      </w:r>
      <w:r>
        <w:rPr>
          <w:rFonts w:hint="default" w:ascii="Times New Roman" w:hAnsi="Times New Roman" w:cs="Times New Roman"/>
          <w:b w:val="0"/>
          <w:color w:val="auto"/>
          <w:szCs w:val="20"/>
          <w:lang w:val="en-US"/>
        </w:rPr>
        <w:t>sacrifice the overall performance due to the lack of UE-specific encoder design and optimization.</w:t>
      </w:r>
    </w:p>
    <w:p>
      <w:pPr>
        <w:pStyle w:val="147"/>
        <w:keepNext w:val="0"/>
        <w:keepLines w:val="0"/>
        <w:pageBreakBefore w:val="0"/>
        <w:numPr>
          <w:ilvl w:val="0"/>
          <w:numId w:val="0"/>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color w:val="auto"/>
          <w:szCs w:val="20"/>
          <w:lang w:val="en-US"/>
        </w:rPr>
        <w:t xml:space="preserve">Observation </w:t>
      </w:r>
      <w:r>
        <w:rPr>
          <w:rFonts w:hint="default" w:ascii="Times New Roman" w:hAnsi="Times New Roman" w:cs="Times New Roman"/>
          <w:color w:val="auto"/>
          <w:szCs w:val="20"/>
          <w:lang w:val="en-US" w:eastAsia="zh-CN"/>
        </w:rPr>
        <w:t>3</w:t>
      </w:r>
      <w:r>
        <w:rPr>
          <w:rFonts w:hint="default" w:ascii="Times New Roman" w:hAnsi="Times New Roman" w:cs="Times New Roman"/>
          <w:color w:val="auto"/>
          <w:szCs w:val="20"/>
          <w:lang w:val="en-US"/>
        </w:rPr>
        <w:t xml:space="preserve">: </w:t>
      </w:r>
      <w:r>
        <w:rPr>
          <w:rFonts w:hint="default" w:ascii="Times New Roman" w:hAnsi="Times New Roman" w:cs="Times New Roman"/>
          <w:b w:val="0"/>
          <w:color w:val="auto"/>
          <w:szCs w:val="20"/>
          <w:lang w:val="en-US"/>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Direction B, data categorization using associated IDs and continuous monitoring can be considered for addressing the data distribution mismatch issues.</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Direction B may not carry risks of disclosing proprietary information if the model parameters to be transferred are widely recognized and devoid of device-specific design decisions.</w:t>
      </w:r>
    </w:p>
    <w:p>
      <w:pPr>
        <w:pStyle w:val="147"/>
        <w:keepNext w:val="0"/>
        <w:keepLines w:val="0"/>
        <w:pageBreakBefore w:val="0"/>
        <w:numPr>
          <w:numId w:val="0"/>
        </w:numPr>
        <w:kinsoku/>
        <w:wordWrap/>
        <w:topLinePunct w:val="0"/>
        <w:autoSpaceDE/>
        <w:autoSpaceDN/>
        <w:bidi w:val="0"/>
        <w:snapToGrid w:val="0"/>
        <w:spacing w:before="109" w:beforeLines="30" w:after="109" w:afterLines="30"/>
        <w:ind w:leftChars="0"/>
        <w:jc w:val="both"/>
        <w:textAlignment w:val="auto"/>
        <w:rPr>
          <w:rFonts w:hint="default" w:ascii="Times New Roman" w:hAnsi="Times New Roman" w:cs="Times New Roman"/>
          <w:b w:val="0"/>
          <w:color w:val="auto"/>
          <w:szCs w:val="20"/>
          <w:lang w:val="en-US"/>
        </w:rPr>
      </w:pPr>
    </w:p>
    <w:p>
      <w:pPr>
        <w:pStyle w:val="113"/>
        <w:keepNext w:val="0"/>
        <w:keepLines w:val="0"/>
        <w:pageBreakBefore w:val="0"/>
        <w:widowControl w:val="0"/>
        <w:numPr>
          <w:ilvl w:val="0"/>
          <w:numId w:val="45"/>
        </w:numPr>
        <w:kinsoku/>
        <w:wordWrap/>
        <w:topLinePunct w:val="0"/>
        <w:autoSpaceDE/>
        <w:autoSpaceDN/>
        <w:bidi w:val="0"/>
        <w:snapToGrid w:val="0"/>
        <w:spacing w:before="109" w:beforeLines="30" w:after="109" w:afterLines="30" w:line="288" w:lineRule="auto"/>
        <w:ind w:firstLineChars="0"/>
        <w:jc w:val="both"/>
        <w:textAlignment w:val="auto"/>
        <w:rPr>
          <w:rFonts w:hint="default" w:ascii="Times New Roman" w:hAnsi="Times New Roman" w:cs="Times New Roman" w:eastAsiaTheme="minorEastAsia"/>
          <w:i/>
          <w:color w:val="auto"/>
          <w:lang w:bidi="ar"/>
        </w:rPr>
      </w:pPr>
      <w:r>
        <w:rPr>
          <w:rFonts w:hint="default" w:ascii="Times New Roman" w:hAnsi="Times New Roman" w:eastAsia="宋体" w:cs="Times New Roman"/>
          <w:b/>
          <w:color w:val="auto"/>
          <w:szCs w:val="20"/>
          <w:u w:val="single"/>
        </w:rPr>
        <w:t>Direction C</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Direction C, synthetic data generated under 3GPP’s statistical channel model can be a starting point for reference model training.</w:t>
      </w:r>
    </w:p>
    <w:p>
      <w:pPr>
        <w:keepNext w:val="0"/>
        <w:keepLines w:val="0"/>
        <w:pageBreakBefore w:val="0"/>
        <w:widowControl w:val="0"/>
        <w:kinsoku/>
        <w:wordWrap/>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4</w:t>
      </w:r>
      <w:r>
        <w:rPr>
          <w:rFonts w:hint="default" w:ascii="Times New Roman" w:hAnsi="Times New Roman" w:cs="Times New Roman" w:eastAsiaTheme="minorEastAsia"/>
          <w:b/>
          <w:i/>
          <w:color w:val="auto"/>
        </w:rPr>
        <w:t xml:space="preserve">: </w:t>
      </w:r>
      <w:r>
        <w:rPr>
          <w:rFonts w:hint="default" w:ascii="Times New Roman" w:hAnsi="Times New Roman" w:cs="Times New Roman" w:eastAsiaTheme="minorEastAsia"/>
          <w:i/>
          <w:color w:val="auto"/>
        </w:rPr>
        <w:t xml:space="preserve">For Direction C, as synthetic data may not capture all characteristics of real world, mismatch between the distribution of the dataset used for reference model(s) training, UE-side data distribution, and NW-side data distribution happens. </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Direction C, whether there is any performance impact arising from the data distribution mismatch depends on the generalization capability of the standardized reference model and thus further evaluations are needed.</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color w:val="auto"/>
        </w:rPr>
      </w:pPr>
      <w:r>
        <w:rPr>
          <w:rFonts w:hint="default" w:ascii="Times New Roman" w:hAnsi="Times New Roman" w:cs="Times New Roman"/>
          <w:b w:val="0"/>
          <w:color w:val="auto"/>
          <w:szCs w:val="20"/>
          <w:lang w:val="en-US"/>
        </w:rPr>
        <w:t>For Direction C, model retraining based on data collected in real world can be performed to bridge the gap between synthetic data and field data.</w:t>
      </w:r>
    </w:p>
    <w:p>
      <w:pPr>
        <w:pStyle w:val="147"/>
        <w:keepNext w:val="0"/>
        <w:keepLines w:val="0"/>
        <w:pageBreakBefore w:val="0"/>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Issues 8 and 9 are also applicable to Directions A and B due to the standardization requirement of reference model structure.</w:t>
      </w:r>
    </w:p>
    <w:p>
      <w:pPr>
        <w:pStyle w:val="113"/>
        <w:keepNext w:val="0"/>
        <w:keepLines w:val="0"/>
        <w:pageBreakBefore w:val="0"/>
        <w:widowControl w:val="0"/>
        <w:numPr>
          <w:numId w:val="0"/>
        </w:numPr>
        <w:kinsoku/>
        <w:wordWrap/>
        <w:topLinePunct w:val="0"/>
        <w:autoSpaceDE/>
        <w:autoSpaceDN/>
        <w:bidi w:val="0"/>
        <w:snapToGrid w:val="0"/>
        <w:spacing w:before="109" w:beforeLines="30" w:after="109" w:afterLines="30" w:line="288" w:lineRule="auto"/>
        <w:ind w:leftChars="0"/>
        <w:jc w:val="both"/>
        <w:textAlignment w:val="auto"/>
        <w:rPr>
          <w:rFonts w:hint="default" w:ascii="Times New Roman" w:hAnsi="Times New Roman" w:cs="Times New Roman" w:eastAsiaTheme="minorEastAsia"/>
          <w:i/>
          <w:color w:val="auto"/>
          <w:lang w:bidi="ar"/>
        </w:rPr>
      </w:pPr>
    </w:p>
    <w:p>
      <w:pPr>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color w:val="auto"/>
          <w:szCs w:val="20"/>
          <w:u w:val="single"/>
        </w:rPr>
      </w:pPr>
      <w:r>
        <w:rPr>
          <w:rFonts w:hint="default" w:ascii="Times New Roman" w:hAnsi="Times New Roman" w:eastAsia="宋体" w:cs="Times New Roman"/>
          <w:b/>
          <w:color w:val="auto"/>
          <w:szCs w:val="20"/>
          <w:u w:val="single"/>
        </w:rPr>
        <w:t>Evaluation on data distribution mismatch</w:t>
      </w:r>
    </w:p>
    <w:p>
      <w:pPr>
        <w:pStyle w:val="113"/>
        <w:keepNext w:val="0"/>
        <w:keepLines w:val="0"/>
        <w:pageBreakBefore w:val="0"/>
        <w:widowControl w:val="0"/>
        <w:numPr>
          <w:ilvl w:val="0"/>
          <w:numId w:val="45"/>
        </w:numPr>
        <w:kinsoku/>
        <w:wordWrap/>
        <w:topLinePunct w:val="0"/>
        <w:autoSpaceDE/>
        <w:autoSpaceDN/>
        <w:bidi w:val="0"/>
        <w:snapToGrid w:val="0"/>
        <w:spacing w:before="109" w:beforeLines="30" w:after="109" w:afterLines="30" w:line="288" w:lineRule="auto"/>
        <w:ind w:firstLineChars="0"/>
        <w:jc w:val="both"/>
        <w:textAlignment w:val="auto"/>
        <w:rPr>
          <w:rFonts w:hint="default" w:ascii="Times New Roman" w:hAnsi="Times New Roman" w:cs="Times New Roman" w:eastAsiaTheme="minorEastAsia"/>
          <w:i/>
          <w:color w:val="auto"/>
          <w:lang w:bidi="ar"/>
        </w:rPr>
      </w:pPr>
      <w:r>
        <w:rPr>
          <w:rFonts w:hint="default" w:ascii="Times New Roman" w:hAnsi="Times New Roman" w:eastAsia="宋体" w:cs="Times New Roman"/>
          <w:b/>
          <w:color w:val="auto"/>
          <w:szCs w:val="20"/>
          <w:u w:val="single"/>
        </w:rPr>
        <w:t xml:space="preserve">Direction </w:t>
      </w:r>
      <w:r>
        <w:rPr>
          <w:rFonts w:hint="default" w:ascii="Times New Roman" w:hAnsi="Times New Roman" w:eastAsia="宋体" w:cs="Times New Roman"/>
          <w:b/>
          <w:color w:val="auto"/>
          <w:szCs w:val="20"/>
          <w:u w:val="single"/>
          <w:lang w:val="en-US" w:eastAsia="zh-CN"/>
        </w:rPr>
        <w:t>A and B</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5</w:t>
      </w:r>
      <w:r>
        <w:rPr>
          <w:rFonts w:hint="default" w:ascii="Times New Roman" w:hAnsi="Times New Roman" w:cs="Times New Roman" w:eastAsiaTheme="minorEastAsia"/>
          <w:b/>
          <w:i/>
          <w:color w:val="auto"/>
        </w:rPr>
        <w:t>:</w:t>
      </w:r>
      <w:r>
        <w:rPr>
          <w:rFonts w:hint="default" w:ascii="Times New Roman" w:hAnsi="Times New Roman" w:cs="Times New Roman" w:eastAsiaTheme="minorEastAsia"/>
          <w:bCs/>
          <w:i/>
          <w:color w:val="auto"/>
        </w:rPr>
        <w:t xml:space="preserve"> For Direction A/B, performance degradation of -2.5% for layer 1 SGCS and -3.9% for layer 2 SGCS are observed due to the impact of UE-side / NW-side data distribution mismatch with respect to UE-side additional condition.</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6</w:t>
      </w:r>
      <w:r>
        <w:rPr>
          <w:rFonts w:hint="default" w:ascii="Times New Roman" w:hAnsi="Times New Roman" w:cs="Times New Roman" w:eastAsiaTheme="minorEastAsia"/>
          <w:b/>
          <w:i/>
          <w:color w:val="auto"/>
        </w:rPr>
        <w:t>:</w:t>
      </w:r>
      <w:r>
        <w:rPr>
          <w:rFonts w:hint="default" w:ascii="Times New Roman" w:hAnsi="Times New Roman" w:cs="Times New Roman" w:eastAsiaTheme="minorEastAsia"/>
          <w:bCs/>
          <w:i/>
          <w:color w:val="auto"/>
        </w:rPr>
        <w:t xml:space="preserve"> For Direction A/B, compared with the case that the UE-side trains an encoder based on Dataset B, there is almost no performance improvement if the UE side trains the encoder based on Dataset A (e.g., transferred from the NW side) and Dataset B.</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7</w:t>
      </w:r>
      <w:r>
        <w:rPr>
          <w:rFonts w:hint="default" w:ascii="Times New Roman" w:hAnsi="Times New Roman" w:cs="Times New Roman" w:eastAsiaTheme="minorEastAsia"/>
          <w:b/>
          <w:i/>
          <w:color w:val="auto"/>
        </w:rPr>
        <w:t>:</w:t>
      </w:r>
      <w:r>
        <w:rPr>
          <w:rFonts w:hint="default" w:ascii="Times New Roman" w:hAnsi="Times New Roman" w:cs="Times New Roman" w:eastAsiaTheme="minorEastAsia"/>
          <w:bCs/>
          <w:i/>
          <w:color w:val="auto"/>
        </w:rPr>
        <w:t xml:space="preserve"> For Direction A/B, if the NW side trains the encoder-decoder pair based on dataset mixed from Dataset A and Dataset B, the performance loss caused by data distribution mismatch is greatly alleviated. </w:t>
      </w:r>
    </w:p>
    <w:p>
      <w:pPr>
        <w:pStyle w:val="113"/>
        <w:keepNext w:val="0"/>
        <w:keepLines w:val="0"/>
        <w:pageBreakBefore w:val="0"/>
        <w:widowControl w:val="0"/>
        <w:numPr>
          <w:numId w:val="0"/>
        </w:numPr>
        <w:kinsoku/>
        <w:wordWrap/>
        <w:topLinePunct w:val="0"/>
        <w:autoSpaceDE/>
        <w:autoSpaceDN/>
        <w:bidi w:val="0"/>
        <w:snapToGrid w:val="0"/>
        <w:spacing w:before="109" w:beforeLines="30" w:after="109" w:afterLines="30" w:line="288" w:lineRule="auto"/>
        <w:ind w:leftChars="0"/>
        <w:jc w:val="both"/>
        <w:textAlignment w:val="auto"/>
        <w:rPr>
          <w:rFonts w:hint="default" w:ascii="Times New Roman" w:hAnsi="Times New Roman" w:cs="Times New Roman" w:eastAsiaTheme="minorEastAsia"/>
          <w:i/>
          <w:color w:val="auto"/>
          <w:lang w:bidi="ar"/>
        </w:rPr>
      </w:pPr>
    </w:p>
    <w:p>
      <w:pPr>
        <w:pStyle w:val="113"/>
        <w:keepNext w:val="0"/>
        <w:keepLines w:val="0"/>
        <w:pageBreakBefore w:val="0"/>
        <w:widowControl w:val="0"/>
        <w:numPr>
          <w:ilvl w:val="0"/>
          <w:numId w:val="45"/>
        </w:numPr>
        <w:kinsoku/>
        <w:wordWrap/>
        <w:topLinePunct w:val="0"/>
        <w:autoSpaceDE/>
        <w:autoSpaceDN/>
        <w:bidi w:val="0"/>
        <w:snapToGrid w:val="0"/>
        <w:spacing w:before="109" w:beforeLines="30" w:after="109" w:afterLines="30" w:line="288" w:lineRule="auto"/>
        <w:ind w:firstLineChars="0"/>
        <w:jc w:val="both"/>
        <w:textAlignment w:val="auto"/>
        <w:rPr>
          <w:rFonts w:hint="default" w:ascii="Times New Roman" w:hAnsi="Times New Roman" w:cs="Times New Roman" w:eastAsiaTheme="minorEastAsia"/>
          <w:i/>
          <w:color w:val="auto"/>
          <w:lang w:bidi="ar"/>
        </w:rPr>
      </w:pPr>
      <w:r>
        <w:rPr>
          <w:rFonts w:hint="default" w:ascii="Times New Roman" w:hAnsi="Times New Roman" w:eastAsia="宋体" w:cs="Times New Roman"/>
          <w:b/>
          <w:color w:val="auto"/>
          <w:szCs w:val="20"/>
          <w:u w:val="single"/>
        </w:rPr>
        <w:t xml:space="preserve">Direction </w:t>
      </w:r>
      <w:r>
        <w:rPr>
          <w:rFonts w:hint="default" w:ascii="Times New Roman" w:hAnsi="Times New Roman" w:eastAsia="宋体" w:cs="Times New Roman"/>
          <w:b/>
          <w:color w:val="auto"/>
          <w:szCs w:val="20"/>
          <w:u w:val="single"/>
          <w:lang w:val="en-US" w:eastAsia="zh-CN"/>
        </w:rPr>
        <w:t>C</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8</w:t>
      </w:r>
      <w:r>
        <w:rPr>
          <w:rFonts w:hint="default" w:ascii="Times New Roman" w:hAnsi="Times New Roman" w:cs="Times New Roman" w:eastAsiaTheme="minorEastAsia"/>
          <w:b/>
          <w:i/>
          <w:color w:val="auto"/>
        </w:rPr>
        <w:t>:</w:t>
      </w:r>
      <w:r>
        <w:rPr>
          <w:rFonts w:hint="default" w:ascii="Times New Roman" w:hAnsi="Times New Roman" w:cs="Times New Roman" w:eastAsiaTheme="minorEastAsia"/>
          <w:bCs/>
          <w:i/>
          <w:color w:val="auto"/>
        </w:rPr>
        <w:t xml:space="preserve"> For Direction C, the data distribution mismatch between synthetic and field data causes limited performance impact, i.e., -3.31% SGCS loss for layer 1 and -4.08% SGCS loss for layer 2.</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9</w:t>
      </w:r>
      <w:r>
        <w:rPr>
          <w:rFonts w:hint="default" w:ascii="Times New Roman" w:hAnsi="Times New Roman" w:cs="Times New Roman" w:eastAsiaTheme="minorEastAsia"/>
          <w:b/>
          <w:i/>
          <w:color w:val="auto"/>
        </w:rPr>
        <w:t xml:space="preserve">: </w:t>
      </w:r>
      <w:r>
        <w:rPr>
          <w:rFonts w:hint="default" w:ascii="Times New Roman" w:hAnsi="Times New Roman" w:cs="Times New Roman" w:eastAsiaTheme="minorEastAsia"/>
          <w:bCs/>
          <w:i/>
          <w:color w:val="auto"/>
        </w:rPr>
        <w:t>For Direction C, data distribution mismatch between NW-side field data and UE-side field data with respect to UE-side additional condition (i.e., phase normalization) causes minor SGCS performance loss.</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r>
        <w:rPr>
          <w:rFonts w:hint="default" w:ascii="Times New Roman" w:hAnsi="Times New Roman" w:cs="Times New Roman" w:eastAsiaTheme="minorEastAsia"/>
          <w:b/>
          <w:i/>
          <w:color w:val="auto"/>
        </w:rPr>
        <w:t xml:space="preserve">Observation </w:t>
      </w:r>
      <w:r>
        <w:rPr>
          <w:rFonts w:hint="default" w:ascii="Times New Roman" w:hAnsi="Times New Roman" w:cs="Times New Roman" w:eastAsiaTheme="minorEastAsia"/>
          <w:b/>
          <w:i/>
          <w:color w:val="auto"/>
          <w:lang w:val="en-US" w:eastAsia="zh-CN"/>
        </w:rPr>
        <w:t>10</w:t>
      </w:r>
      <w:r>
        <w:rPr>
          <w:rFonts w:hint="default" w:ascii="Times New Roman" w:hAnsi="Times New Roman" w:cs="Times New Roman" w:eastAsiaTheme="minorEastAsia"/>
          <w:b/>
          <w:i/>
          <w:color w:val="auto"/>
        </w:rPr>
        <w:t xml:space="preserve">: </w:t>
      </w:r>
      <w:r>
        <w:rPr>
          <w:rFonts w:hint="default" w:ascii="Times New Roman" w:hAnsi="Times New Roman" w:cs="Times New Roman" w:eastAsiaTheme="minorEastAsia"/>
          <w:bCs/>
          <w:i/>
          <w:color w:val="auto"/>
        </w:rPr>
        <w:t xml:space="preserve">For Direction C, if the NW-side decoder is trained by mixed dataset from NW-side field data and UE-side field data, the performance loss caused by data distribution mismatch is greatly alleviated. </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default" w:ascii="Times New Roman" w:hAnsi="Times New Roman" w:cs="Times New Roman" w:eastAsiaTheme="minorEastAsia"/>
          <w:bCs/>
          <w:i/>
          <w:color w:val="auto"/>
        </w:rPr>
      </w:pPr>
    </w:p>
    <w:p>
      <w:pPr>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color w:val="auto"/>
          <w:szCs w:val="20"/>
          <w:u w:val="single"/>
        </w:rPr>
      </w:pPr>
      <w:r>
        <w:rPr>
          <w:rFonts w:hint="default" w:ascii="Times New Roman" w:hAnsi="Times New Roman" w:eastAsia="宋体" w:cs="Times New Roman"/>
          <w:b/>
          <w:color w:val="auto"/>
          <w:szCs w:val="20"/>
          <w:u w:val="single"/>
        </w:rPr>
        <w:t>Remaining issues for AI/ML CSI compression</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network side data collection, support to further study</w:t>
      </w:r>
    </w:p>
    <w:p>
      <w:pPr>
        <w:keepNext w:val="0"/>
        <w:keepLines w:val="0"/>
        <w:pageBreakBefore w:val="0"/>
        <w:numPr>
          <w:ilvl w:val="0"/>
          <w:numId w:val="30"/>
        </w:numPr>
        <w:kinsoku/>
        <w:wordWrap/>
        <w:topLinePunct w:val="0"/>
        <w:autoSpaceDE/>
        <w:autoSpaceDN/>
        <w:bidi w:val="0"/>
        <w:adjustRightInd w:val="0"/>
        <w:snapToGrid w:val="0"/>
        <w:spacing w:before="109" w:beforeLines="30" w:after="109" w:afterLines="30" w:line="288" w:lineRule="auto"/>
        <w:ind w:left="0" w:firstLine="0"/>
        <w:jc w:val="both"/>
        <w:textAlignment w:val="auto"/>
        <w:rPr>
          <w:rFonts w:hint="default" w:ascii="Times New Roman" w:hAnsi="Times New Roman" w:cs="Times New Roman"/>
          <w:i/>
          <w:color w:val="auto"/>
        </w:rPr>
      </w:pPr>
      <w:r>
        <w:rPr>
          <w:rFonts w:hint="default" w:ascii="Times New Roman" w:hAnsi="Times New Roman" w:cs="Times New Roman"/>
          <w:i/>
          <w:color w:val="auto"/>
        </w:rPr>
        <w:t xml:space="preserve">Enhanced Rel-16 eTypeII codebook </w:t>
      </w:r>
      <w:r>
        <w:rPr>
          <w:rFonts w:hint="default" w:ascii="Times New Roman" w:hAnsi="Times New Roman" w:eastAsia="宋体" w:cs="Times New Roman"/>
          <w:i/>
          <w:color w:val="auto"/>
        </w:rPr>
        <w:t xml:space="preserve">design </w:t>
      </w:r>
      <w:r>
        <w:rPr>
          <w:rFonts w:hint="default" w:ascii="Times New Roman" w:hAnsi="Times New Roman" w:cs="Times New Roman"/>
          <w:i/>
          <w:color w:val="auto"/>
        </w:rPr>
        <w:t>to achieve high-resolution CSI</w:t>
      </w:r>
      <w:r>
        <w:rPr>
          <w:rFonts w:hint="default" w:ascii="Times New Roman" w:hAnsi="Times New Roman" w:eastAsia="宋体" w:cs="Times New Roman"/>
          <w:i/>
          <w:color w:val="auto"/>
        </w:rPr>
        <w:t xml:space="preserve"> for model training and performance monitoring</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To enable high-quality data collection from UE to network, at least support</w:t>
      </w:r>
    </w:p>
    <w:p>
      <w:pPr>
        <w:keepNext w:val="0"/>
        <w:keepLines w:val="0"/>
        <w:pageBreakBefore w:val="0"/>
        <w:numPr>
          <w:ilvl w:val="0"/>
          <w:numId w:val="30"/>
        </w:numPr>
        <w:kinsoku/>
        <w:wordWrap/>
        <w:topLinePunct w:val="0"/>
        <w:autoSpaceDE/>
        <w:autoSpaceDN/>
        <w:bidi w:val="0"/>
        <w:adjustRightInd w:val="0"/>
        <w:snapToGrid w:val="0"/>
        <w:spacing w:before="109" w:beforeLines="30" w:after="109" w:afterLines="30" w:line="288" w:lineRule="auto"/>
        <w:jc w:val="both"/>
        <w:textAlignment w:val="auto"/>
        <w:rPr>
          <w:rFonts w:hint="default" w:ascii="Times New Roman" w:hAnsi="Times New Roman" w:cs="Times New Roman"/>
          <w:i/>
          <w:color w:val="auto"/>
        </w:rPr>
      </w:pPr>
      <w:r>
        <w:rPr>
          <w:rFonts w:hint="default" w:ascii="Times New Roman" w:hAnsi="Times New Roman" w:cs="Times New Roman"/>
          <w:i/>
          <w:color w:val="auto"/>
        </w:rPr>
        <w:t xml:space="preserve">UE reports </w:t>
      </w:r>
      <w:r>
        <w:rPr>
          <w:rFonts w:hint="default" w:ascii="Times New Roman" w:hAnsi="Times New Roman" w:eastAsia="宋体" w:cs="Times New Roman"/>
          <w:i/>
          <w:iCs/>
          <w:color w:val="auto"/>
        </w:rPr>
        <w:t xml:space="preserve">data quality related </w:t>
      </w:r>
      <w:r>
        <w:rPr>
          <w:rFonts w:hint="default" w:ascii="Times New Roman" w:hAnsi="Times New Roman" w:cs="Times New Roman"/>
          <w:i/>
          <w:color w:val="auto"/>
        </w:rPr>
        <w:t>information to NW,</w:t>
      </w:r>
      <w:r>
        <w:rPr>
          <w:rFonts w:hint="default" w:ascii="Times New Roman" w:hAnsi="Times New Roman" w:cs="Times New Roman"/>
          <w:color w:val="auto"/>
        </w:rPr>
        <w:t xml:space="preserve"> </w:t>
      </w:r>
      <w:r>
        <w:rPr>
          <w:rFonts w:hint="default" w:ascii="Times New Roman" w:hAnsi="Times New Roman" w:cs="Times New Roman"/>
          <w:i/>
          <w:color w:val="auto"/>
        </w:rPr>
        <w:t>e.g., SINR, CQI, positioning information</w:t>
      </w:r>
    </w:p>
    <w:p>
      <w:pPr>
        <w:keepNext w:val="0"/>
        <w:keepLines w:val="0"/>
        <w:pageBreakBefore w:val="0"/>
        <w:numPr>
          <w:ilvl w:val="0"/>
          <w:numId w:val="30"/>
        </w:numPr>
        <w:kinsoku/>
        <w:wordWrap/>
        <w:topLinePunct w:val="0"/>
        <w:autoSpaceDE/>
        <w:autoSpaceDN/>
        <w:bidi w:val="0"/>
        <w:adjustRightInd w:val="0"/>
        <w:snapToGrid w:val="0"/>
        <w:spacing w:before="109" w:beforeLines="30" w:after="109" w:afterLines="30" w:line="288" w:lineRule="auto"/>
        <w:jc w:val="both"/>
        <w:textAlignment w:val="auto"/>
        <w:rPr>
          <w:rFonts w:hint="default" w:ascii="Times New Roman" w:hAnsi="Times New Roman" w:cs="Times New Roman"/>
          <w:i/>
          <w:color w:val="auto"/>
        </w:rPr>
      </w:pPr>
      <w:r>
        <w:rPr>
          <w:rFonts w:hint="default" w:ascii="Times New Roman" w:hAnsi="Times New Roman" w:cs="Times New Roman"/>
          <w:i/>
          <w:color w:val="auto"/>
        </w:rPr>
        <w:t>NW configures a threshold of data quality to UE and UE only reports the qualified data to NW</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For CQI determination, at least prioritize the specification impact discussions on Option</w:t>
      </w:r>
      <w:r>
        <w:rPr>
          <w:rFonts w:hint="default" w:ascii="Times New Roman" w:hAnsi="Times New Roman" w:cs="Times New Roman"/>
          <w:b w:val="0"/>
          <w:color w:val="auto"/>
          <w:szCs w:val="20"/>
          <w:lang w:val="en-US" w:eastAsia="zh-CN"/>
        </w:rPr>
        <w:t>s</w:t>
      </w:r>
      <w:r>
        <w:rPr>
          <w:rFonts w:hint="default" w:ascii="Times New Roman" w:hAnsi="Times New Roman" w:cs="Times New Roman"/>
          <w:b w:val="0"/>
          <w:color w:val="auto"/>
          <w:szCs w:val="20"/>
          <w:lang w:val="en-US"/>
        </w:rPr>
        <w:t xml:space="preserve"> 1a</w:t>
      </w:r>
      <w:r>
        <w:rPr>
          <w:rFonts w:hint="default" w:ascii="Times New Roman" w:hAnsi="Times New Roman" w:cs="Times New Roman"/>
          <w:b w:val="0"/>
          <w:color w:val="auto"/>
          <w:szCs w:val="20"/>
          <w:lang w:val="en-US" w:eastAsia="zh-CN"/>
        </w:rPr>
        <w:t xml:space="preserve"> and </w:t>
      </w:r>
      <w:r>
        <w:rPr>
          <w:rFonts w:hint="default" w:ascii="Times New Roman" w:hAnsi="Times New Roman" w:cs="Times New Roman"/>
          <w:b w:val="0"/>
          <w:color w:val="auto"/>
          <w:szCs w:val="20"/>
          <w:lang w:val="en-US"/>
        </w:rPr>
        <w:t>1b.</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 xml:space="preserve">Prioritize to study the specification impacts on at least the following case for model performance monitoring, </w:t>
      </w:r>
    </w:p>
    <w:p>
      <w:pPr>
        <w:pStyle w:val="113"/>
        <w:keepNext w:val="0"/>
        <w:keepLines w:val="0"/>
        <w:pageBreakBefore w:val="0"/>
        <w:numPr>
          <w:ilvl w:val="0"/>
          <w:numId w:val="40"/>
        </w:numPr>
        <w:kinsoku/>
        <w:wordWrap/>
        <w:topLinePunct w:val="0"/>
        <w:autoSpaceDE/>
        <w:autoSpaceDN/>
        <w:bidi w:val="0"/>
        <w:snapToGrid w:val="0"/>
        <w:spacing w:before="109" w:beforeLines="30" w:after="109" w:afterLines="30" w:line="288" w:lineRule="auto"/>
        <w:ind w:firstLineChars="0"/>
        <w:jc w:val="both"/>
        <w:textAlignment w:val="auto"/>
        <w:rPr>
          <w:rFonts w:hint="default" w:ascii="Times New Roman" w:hAnsi="Times New Roman" w:cs="Times New Roman"/>
          <w:i/>
          <w:color w:val="auto"/>
        </w:rPr>
      </w:pPr>
      <w:r>
        <w:rPr>
          <w:rFonts w:hint="default" w:ascii="Times New Roman" w:hAnsi="Times New Roman" w:cs="Times New Roman"/>
          <w:i/>
          <w:color w:val="auto"/>
        </w:rPr>
        <w:t>NW-side monitoring based on the target CSI with realistic channel estimation associated to the CSI report, reported by the UE.</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In CSI compression using two-sided model use case, deprioritize the study on UE-side monitoring in Rel-19 study phase.</w:t>
      </w:r>
    </w:p>
    <w:p>
      <w:pPr>
        <w:pStyle w:val="147"/>
        <w:keepNext w:val="0"/>
        <w:keepLines w:val="0"/>
        <w:pageBreakBefore w:val="0"/>
        <w:numPr>
          <w:numId w:val="44"/>
        </w:numPr>
        <w:kinsoku/>
        <w:wordWrap/>
        <w:topLinePunct w:val="0"/>
        <w:autoSpaceDE/>
        <w:autoSpaceDN/>
        <w:bidi w:val="0"/>
        <w:snapToGrid w:val="0"/>
        <w:spacing w:before="109" w:beforeLines="30" w:after="109" w:afterLines="30"/>
        <w:jc w:val="both"/>
        <w:textAlignment w:val="auto"/>
        <w:rPr>
          <w:rFonts w:hint="default" w:ascii="Times New Roman" w:hAnsi="Times New Roman" w:cs="Times New Roman"/>
          <w:b w:val="0"/>
          <w:color w:val="auto"/>
          <w:szCs w:val="20"/>
          <w:lang w:val="en-US"/>
        </w:rPr>
      </w:pPr>
      <w:r>
        <w:rPr>
          <w:rFonts w:hint="default" w:ascii="Times New Roman" w:hAnsi="Times New Roman" w:cs="Times New Roman"/>
          <w:b w:val="0"/>
          <w:color w:val="auto"/>
          <w:szCs w:val="20"/>
          <w:lang w:val="en-US"/>
        </w:rPr>
        <w:t>In CSI compression using two-sided model use case, further study a set of appropriate monitoring methodology and reasonable monitoring metrics for the given KPI under rank&gt;1.</w:t>
      </w:r>
    </w:p>
    <w:p>
      <w:pPr>
        <w:pStyle w:val="147"/>
        <w:numPr>
          <w:ilvl w:val="0"/>
          <w:numId w:val="0"/>
        </w:numPr>
        <w:snapToGrid w:val="0"/>
        <w:spacing w:before="72" w:after="72"/>
        <w:ind w:leftChars="0"/>
        <w:jc w:val="both"/>
        <w:rPr>
          <w:b w:val="0"/>
          <w:color w:val="auto"/>
          <w:szCs w:val="20"/>
          <w:lang w:val="en-US"/>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hint="eastAsia" w:eastAsia="宋体"/>
          <w:b/>
          <w:color w:val="auto"/>
          <w:sz w:val="28"/>
          <w:szCs w:val="28"/>
        </w:rPr>
      </w:pPr>
      <w:r>
        <w:rPr>
          <w:rFonts w:hint="eastAsia" w:eastAsia="宋体"/>
          <w:b/>
          <w:color w:val="auto"/>
          <w:sz w:val="28"/>
          <w:szCs w:val="28"/>
        </w:rPr>
        <w:t>References</w:t>
      </w:r>
    </w:p>
    <w:p>
      <w:pPr>
        <w:pStyle w:val="75"/>
        <w:numPr>
          <w:ilvl w:val="0"/>
          <w:numId w:val="46"/>
        </w:numPr>
        <w:snapToGrid w:val="0"/>
        <w:spacing w:before="72" w:beforeLines="30" w:after="72" w:afterLines="30" w:line="288" w:lineRule="auto"/>
        <w:jc w:val="both"/>
        <w:rPr>
          <w:color w:val="auto"/>
          <w:sz w:val="20"/>
        </w:rPr>
      </w:pPr>
      <w:r>
        <w:rPr>
          <w:color w:val="auto"/>
          <w:sz w:val="20"/>
        </w:rPr>
        <w:t>RP-242399 Revised WID for NR_AIML_air, RAN#105.</w:t>
      </w:r>
    </w:p>
    <w:p>
      <w:pPr>
        <w:pStyle w:val="75"/>
        <w:numPr>
          <w:ilvl w:val="0"/>
          <w:numId w:val="46"/>
        </w:numPr>
        <w:snapToGrid w:val="0"/>
        <w:spacing w:before="72" w:beforeLines="30" w:after="72" w:afterLines="30" w:line="288" w:lineRule="auto"/>
        <w:jc w:val="both"/>
        <w:rPr>
          <w:color w:val="auto"/>
          <w:sz w:val="20"/>
        </w:rPr>
      </w:pPr>
      <w:r>
        <w:rPr>
          <w:color w:val="auto"/>
          <w:sz w:val="20"/>
        </w:rPr>
        <w:t>Chairman’s notes, RAN1#118</w:t>
      </w:r>
      <w:r>
        <w:rPr>
          <w:rFonts w:hint="eastAsia"/>
          <w:color w:val="auto"/>
          <w:sz w:val="20"/>
        </w:rPr>
        <w:t>b</w:t>
      </w:r>
      <w:r>
        <w:rPr>
          <w:color w:val="auto"/>
          <w:sz w:val="20"/>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F4AAA48"/>
    <w:multiLevelType w:val="singleLevel"/>
    <w:tmpl w:val="8F4AAA48"/>
    <w:lvl w:ilvl="0" w:tentative="0">
      <w:start w:val="1"/>
      <w:numFmt w:val="bullet"/>
      <w:lvlText w:val=""/>
      <w:lvlJc w:val="left"/>
      <w:pPr>
        <w:ind w:left="420" w:hanging="420"/>
      </w:pPr>
      <w:rPr>
        <w:rFonts w:hint="default" w:ascii="Wingdings" w:hAnsi="Wingdings"/>
        <w:sz w:val="13"/>
        <w:szCs w:val="13"/>
      </w:rPr>
    </w:lvl>
  </w:abstractNum>
  <w:abstractNum w:abstractNumId="2">
    <w:nsid w:val="AE8F3438"/>
    <w:multiLevelType w:val="singleLevel"/>
    <w:tmpl w:val="AE8F3438"/>
    <w:lvl w:ilvl="0" w:tentative="0">
      <w:start w:val="1"/>
      <w:numFmt w:val="bullet"/>
      <w:lvlText w:val=""/>
      <w:lvlJc w:val="left"/>
      <w:pPr>
        <w:ind w:left="420" w:hanging="420"/>
      </w:pPr>
      <w:rPr>
        <w:rFonts w:hint="default" w:ascii="Wingdings" w:hAnsi="Wingdings"/>
        <w:sz w:val="13"/>
        <w:szCs w:val="13"/>
      </w:rPr>
    </w:lvl>
  </w:abstractNum>
  <w:abstractNum w:abstractNumId="3">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DC8657B7"/>
    <w:multiLevelType w:val="singleLevel"/>
    <w:tmpl w:val="DC8657B7"/>
    <w:lvl w:ilvl="0" w:tentative="0">
      <w:start w:val="1"/>
      <w:numFmt w:val="bullet"/>
      <w:lvlText w:val=""/>
      <w:lvlJc w:val="left"/>
      <w:pPr>
        <w:tabs>
          <w:tab w:val="left" w:pos="-420"/>
        </w:tabs>
        <w:ind w:left="0" w:hanging="420"/>
      </w:pPr>
      <w:rPr>
        <w:rFonts w:hint="default" w:ascii="Wingdings" w:hAnsi="Wingdings"/>
        <w:sz w:val="13"/>
        <w:szCs w:val="13"/>
      </w:rPr>
    </w:lvl>
  </w:abstractNum>
  <w:abstractNum w:abstractNumId="5">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BC545B1"/>
    <w:multiLevelType w:val="multilevel"/>
    <w:tmpl w:val="FBC545B1"/>
    <w:lvl w:ilvl="0" w:tentative="0">
      <w:start w:val="1"/>
      <w:numFmt w:val="decimal"/>
      <w:pStyle w:val="36"/>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7">
    <w:nsid w:val="FE934AD1"/>
    <w:multiLevelType w:val="multilevel"/>
    <w:tmpl w:val="FE934AD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0B55CA5"/>
    <w:multiLevelType w:val="multilevel"/>
    <w:tmpl w:val="00B55C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6243E67"/>
    <w:multiLevelType w:val="multilevel"/>
    <w:tmpl w:val="06243E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default"/>
        <w:b/>
        <w:i w:val="0"/>
        <w:sz w:val="22"/>
        <w:szCs w:val="18"/>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A8A7F05"/>
    <w:multiLevelType w:val="multilevel"/>
    <w:tmpl w:val="0A8A7F05"/>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480" w:hanging="420"/>
      </w:pPr>
      <w:rPr>
        <w:rFonts w:hint="default" w:ascii="Wingdings" w:hAnsi="Wingdings"/>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15">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6">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7">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8">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8544DF2"/>
    <w:multiLevelType w:val="singleLevel"/>
    <w:tmpl w:val="28544DF2"/>
    <w:lvl w:ilvl="0" w:tentative="0">
      <w:start w:val="1"/>
      <w:numFmt w:val="decimal"/>
      <w:pStyle w:val="133"/>
      <w:suff w:val="nothing"/>
      <w:lvlText w:val="Observation %1:"/>
      <w:lvlJc w:val="left"/>
      <w:pPr>
        <w:ind w:left="0" w:firstLine="403"/>
      </w:pPr>
      <w:rPr>
        <w:rFonts w:hint="default"/>
      </w:rPr>
    </w:lvl>
  </w:abstractNum>
  <w:abstractNum w:abstractNumId="20">
    <w:nsid w:val="29AF9961"/>
    <w:multiLevelType w:val="singleLevel"/>
    <w:tmpl w:val="29AF9961"/>
    <w:lvl w:ilvl="0" w:tentative="0">
      <w:start w:val="1"/>
      <w:numFmt w:val="bullet"/>
      <w:lvlText w:val=""/>
      <w:lvlJc w:val="left"/>
      <w:pPr>
        <w:ind w:left="420" w:hanging="420"/>
      </w:pPr>
      <w:rPr>
        <w:rFonts w:hint="default" w:ascii="Wingdings" w:hAnsi="Wingdings"/>
      </w:rPr>
    </w:lvl>
  </w:abstractNum>
  <w:abstractNum w:abstractNumId="21">
    <w:nsid w:val="29E73AA5"/>
    <w:multiLevelType w:val="multilevel"/>
    <w:tmpl w:val="29E73A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E8A0E39"/>
    <w:multiLevelType w:val="multilevel"/>
    <w:tmpl w:val="2E8A0E39"/>
    <w:lvl w:ilvl="0" w:tentative="0">
      <w:start w:val="1"/>
      <w:numFmt w:val="bullet"/>
      <w:lvlText w:val=""/>
      <w:lvlJc w:val="left"/>
      <w:pPr>
        <w:ind w:left="340" w:hanging="360"/>
      </w:pPr>
      <w:rPr>
        <w:rFonts w:hint="default" w:ascii="Symbol" w:hAnsi="Symbol"/>
      </w:rPr>
    </w:lvl>
    <w:lvl w:ilvl="1" w:tentative="0">
      <w:start w:val="1"/>
      <w:numFmt w:val="bullet"/>
      <w:lvlText w:val="o"/>
      <w:lvlJc w:val="left"/>
      <w:pPr>
        <w:ind w:left="1060" w:hanging="360"/>
      </w:pPr>
      <w:rPr>
        <w:rFonts w:hint="default" w:ascii="Courier New" w:hAnsi="Courier New" w:cs="Courier New"/>
      </w:rPr>
    </w:lvl>
    <w:lvl w:ilvl="2" w:tentative="0">
      <w:start w:val="1"/>
      <w:numFmt w:val="bullet"/>
      <w:lvlText w:val=""/>
      <w:lvlJc w:val="left"/>
      <w:pPr>
        <w:ind w:left="1780" w:hanging="360"/>
      </w:pPr>
      <w:rPr>
        <w:rFonts w:hint="default" w:ascii="Wingdings" w:hAnsi="Wingdings"/>
      </w:rPr>
    </w:lvl>
    <w:lvl w:ilvl="3" w:tentative="0">
      <w:start w:val="1"/>
      <w:numFmt w:val="bullet"/>
      <w:lvlText w:val=""/>
      <w:lvlJc w:val="left"/>
      <w:pPr>
        <w:ind w:left="2500" w:hanging="360"/>
      </w:pPr>
      <w:rPr>
        <w:rFonts w:hint="default" w:ascii="Symbol" w:hAnsi="Symbol"/>
      </w:rPr>
    </w:lvl>
    <w:lvl w:ilvl="4" w:tentative="0">
      <w:start w:val="1"/>
      <w:numFmt w:val="bullet"/>
      <w:lvlText w:val="o"/>
      <w:lvlJc w:val="left"/>
      <w:pPr>
        <w:ind w:left="3220" w:hanging="360"/>
      </w:pPr>
      <w:rPr>
        <w:rFonts w:hint="default" w:ascii="Courier New" w:hAnsi="Courier New" w:cs="Courier New"/>
      </w:rPr>
    </w:lvl>
    <w:lvl w:ilvl="5" w:tentative="0">
      <w:start w:val="1"/>
      <w:numFmt w:val="bullet"/>
      <w:lvlText w:val=""/>
      <w:lvlJc w:val="left"/>
      <w:pPr>
        <w:ind w:left="3940" w:hanging="360"/>
      </w:pPr>
      <w:rPr>
        <w:rFonts w:hint="default" w:ascii="Wingdings" w:hAnsi="Wingdings"/>
      </w:rPr>
    </w:lvl>
    <w:lvl w:ilvl="6" w:tentative="0">
      <w:start w:val="1"/>
      <w:numFmt w:val="bullet"/>
      <w:lvlText w:val=""/>
      <w:lvlJc w:val="left"/>
      <w:pPr>
        <w:ind w:left="4660" w:hanging="360"/>
      </w:pPr>
      <w:rPr>
        <w:rFonts w:hint="default" w:ascii="Symbol" w:hAnsi="Symbol"/>
      </w:rPr>
    </w:lvl>
    <w:lvl w:ilvl="7" w:tentative="0">
      <w:start w:val="1"/>
      <w:numFmt w:val="bullet"/>
      <w:lvlText w:val="o"/>
      <w:lvlJc w:val="left"/>
      <w:pPr>
        <w:ind w:left="5380" w:hanging="360"/>
      </w:pPr>
      <w:rPr>
        <w:rFonts w:hint="default" w:ascii="Courier New" w:hAnsi="Courier New" w:cs="Courier New"/>
      </w:rPr>
    </w:lvl>
    <w:lvl w:ilvl="8" w:tentative="0">
      <w:start w:val="1"/>
      <w:numFmt w:val="bullet"/>
      <w:lvlText w:val=""/>
      <w:lvlJc w:val="left"/>
      <w:pPr>
        <w:ind w:left="6100" w:hanging="360"/>
      </w:pPr>
      <w:rPr>
        <w:rFonts w:hint="default" w:ascii="Wingdings" w:hAnsi="Wingdings"/>
      </w:rPr>
    </w:lvl>
  </w:abstractNum>
  <w:abstractNum w:abstractNumId="23">
    <w:nsid w:val="31263DD5"/>
    <w:multiLevelType w:val="multilevel"/>
    <w:tmpl w:val="31263DD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5">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6">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strike w:val="0"/>
        <w:dstrike w:val="0"/>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9">
    <w:nsid w:val="459916D3"/>
    <w:multiLevelType w:val="singleLevel"/>
    <w:tmpl w:val="459916D3"/>
    <w:lvl w:ilvl="0" w:tentative="0">
      <w:start w:val="1"/>
      <w:numFmt w:val="decimal"/>
      <w:suff w:val="space"/>
      <w:lvlText w:val="[%1]"/>
      <w:lvlJc w:val="left"/>
    </w:lvl>
  </w:abstractNum>
  <w:abstractNum w:abstractNumId="30">
    <w:nsid w:val="4A55685D"/>
    <w:multiLevelType w:val="singleLevel"/>
    <w:tmpl w:val="4A55685D"/>
    <w:lvl w:ilvl="0" w:tentative="0">
      <w:start w:val="1"/>
      <w:numFmt w:val="bullet"/>
      <w:pStyle w:val="124"/>
      <w:lvlText w:val=""/>
      <w:lvlJc w:val="left"/>
      <w:pPr>
        <w:tabs>
          <w:tab w:val="left" w:pos="992"/>
        </w:tabs>
        <w:ind w:left="992" w:hanging="425"/>
      </w:pPr>
      <w:rPr>
        <w:rFonts w:hint="default" w:ascii="Symbol" w:hAnsi="Symbol"/>
      </w:rPr>
    </w:lvl>
  </w:abstractNum>
  <w:abstractNum w:abstractNumId="31">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32">
    <w:nsid w:val="52BF1D56"/>
    <w:multiLevelType w:val="multilevel"/>
    <w:tmpl w:val="52BF1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57160560"/>
    <w:multiLevelType w:val="singleLevel"/>
    <w:tmpl w:val="57160560"/>
    <w:lvl w:ilvl="0" w:tentative="0">
      <w:start w:val="1"/>
      <w:numFmt w:val="bullet"/>
      <w:lvlText w:val=""/>
      <w:lvlJc w:val="left"/>
      <w:pPr>
        <w:ind w:left="420" w:hanging="420"/>
      </w:pPr>
      <w:rPr>
        <w:rFonts w:hint="default" w:ascii="Wingdings" w:hAnsi="Wingdings"/>
      </w:rPr>
    </w:lvl>
  </w:abstractNum>
  <w:abstractNum w:abstractNumId="34">
    <w:nsid w:val="58EE6916"/>
    <w:multiLevelType w:val="multilevel"/>
    <w:tmpl w:val="58EE6916"/>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5">
    <w:nsid w:val="5F8D5E1C"/>
    <w:multiLevelType w:val="multilevel"/>
    <w:tmpl w:val="5F8D5E1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7">
    <w:nsid w:val="626918EF"/>
    <w:multiLevelType w:val="multilevel"/>
    <w:tmpl w:val="626918EF"/>
    <w:lvl w:ilvl="0" w:tentative="0">
      <w:start w:val="1"/>
      <w:numFmt w:val="decimal"/>
      <w:pStyle w:val="147"/>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B806730"/>
    <w:multiLevelType w:val="multilevel"/>
    <w:tmpl w:val="6B806730"/>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sz w:val="13"/>
        <w:szCs w:val="13"/>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0">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1">
    <w:nsid w:val="70236386"/>
    <w:multiLevelType w:val="singleLevel"/>
    <w:tmpl w:val="70236386"/>
    <w:lvl w:ilvl="0" w:tentative="0">
      <w:start w:val="1"/>
      <w:numFmt w:val="bullet"/>
      <w:lvlText w:val=""/>
      <w:lvlJc w:val="left"/>
      <w:pPr>
        <w:ind w:left="420" w:hanging="420"/>
      </w:pPr>
      <w:rPr>
        <w:rFonts w:hint="default" w:ascii="Wingdings" w:hAnsi="Wingdings"/>
      </w:rPr>
    </w:lvl>
  </w:abstractNum>
  <w:abstractNum w:abstractNumId="42">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strike w:val="0"/>
        <w:dstrike w:val="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3">
    <w:nsid w:val="7526075B"/>
    <w:multiLevelType w:val="multilevel"/>
    <w:tmpl w:val="7526075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9"/>
  </w:num>
  <w:num w:numId="4">
    <w:abstractNumId w:val="44"/>
  </w:num>
  <w:num w:numId="5">
    <w:abstractNumId w:val="10"/>
  </w:num>
  <w:num w:numId="6">
    <w:abstractNumId w:val="40"/>
  </w:num>
  <w:num w:numId="7">
    <w:abstractNumId w:val="30"/>
  </w:num>
  <w:num w:numId="8">
    <w:abstractNumId w:val="19"/>
  </w:num>
  <w:num w:numId="9">
    <w:abstractNumId w:val="37"/>
  </w:num>
  <w:num w:numId="10">
    <w:abstractNumId w:val="12"/>
  </w:num>
  <w:num w:numId="11">
    <w:abstractNumId w:val="32"/>
  </w:num>
  <w:num w:numId="12">
    <w:abstractNumId w:val="42"/>
  </w:num>
  <w:num w:numId="13">
    <w:abstractNumId w:val="41"/>
  </w:num>
  <w:num w:numId="14">
    <w:abstractNumId w:val="23"/>
  </w:num>
  <w:num w:numId="15">
    <w:abstractNumId w:val="4"/>
  </w:num>
  <w:num w:numId="16">
    <w:abstractNumId w:val="21"/>
  </w:num>
  <w:num w:numId="17">
    <w:abstractNumId w:val="11"/>
  </w:num>
  <w:num w:numId="18">
    <w:abstractNumId w:val="26"/>
  </w:num>
  <w:num w:numId="19">
    <w:abstractNumId w:val="33"/>
  </w:num>
  <w:num w:numId="20">
    <w:abstractNumId w:val="38"/>
  </w:num>
  <w:num w:numId="21">
    <w:abstractNumId w:val="1"/>
  </w:num>
  <w:num w:numId="22">
    <w:abstractNumId w:val="2"/>
  </w:num>
  <w:num w:numId="23">
    <w:abstractNumId w:val="20"/>
  </w:num>
  <w:num w:numId="24">
    <w:abstractNumId w:val="7"/>
  </w:num>
  <w:num w:numId="25">
    <w:abstractNumId w:val="22"/>
  </w:num>
  <w:num w:numId="26">
    <w:abstractNumId w:val="43"/>
  </w:num>
  <w:num w:numId="27">
    <w:abstractNumId w:val="8"/>
  </w:num>
  <w:num w:numId="28">
    <w:abstractNumId w:val="35"/>
  </w:num>
  <w:num w:numId="29">
    <w:abstractNumId w:val="34"/>
  </w:num>
  <w:num w:numId="30">
    <w:abstractNumId w:val="5"/>
  </w:num>
  <w:num w:numId="31">
    <w:abstractNumId w:val="3"/>
  </w:num>
  <w:num w:numId="32">
    <w:abstractNumId w:val="39"/>
  </w:num>
  <w:num w:numId="33">
    <w:abstractNumId w:val="15"/>
  </w:num>
  <w:num w:numId="34">
    <w:abstractNumId w:val="27"/>
  </w:num>
  <w:num w:numId="35">
    <w:abstractNumId w:val="28"/>
  </w:num>
  <w:num w:numId="36">
    <w:abstractNumId w:val="24"/>
  </w:num>
  <w:num w:numId="37">
    <w:abstractNumId w:val="36"/>
  </w:num>
  <w:num w:numId="38">
    <w:abstractNumId w:val="13"/>
  </w:num>
  <w:num w:numId="39">
    <w:abstractNumId w:val="18"/>
  </w:num>
  <w:num w:numId="40">
    <w:abstractNumId w:val="17"/>
  </w:num>
  <w:num w:numId="41">
    <w:abstractNumId w:val="25"/>
  </w:num>
  <w:num w:numId="42">
    <w:abstractNumId w:val="31"/>
  </w:num>
  <w:num w:numId="43">
    <w:abstractNumId w:val="16"/>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5F1"/>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8CB"/>
    <w:rsid w:val="00014AB1"/>
    <w:rsid w:val="00014C6F"/>
    <w:rsid w:val="00015086"/>
    <w:rsid w:val="00015407"/>
    <w:rsid w:val="0001555C"/>
    <w:rsid w:val="00015591"/>
    <w:rsid w:val="000159F7"/>
    <w:rsid w:val="000161DF"/>
    <w:rsid w:val="000164F2"/>
    <w:rsid w:val="0001670E"/>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52D"/>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16"/>
    <w:rsid w:val="00037260"/>
    <w:rsid w:val="0003750E"/>
    <w:rsid w:val="00037AF2"/>
    <w:rsid w:val="00037B45"/>
    <w:rsid w:val="00037F59"/>
    <w:rsid w:val="000402A0"/>
    <w:rsid w:val="0004047C"/>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08"/>
    <w:rsid w:val="00054550"/>
    <w:rsid w:val="0005463C"/>
    <w:rsid w:val="00054700"/>
    <w:rsid w:val="000549F0"/>
    <w:rsid w:val="00054A38"/>
    <w:rsid w:val="00054B6B"/>
    <w:rsid w:val="00055487"/>
    <w:rsid w:val="000554D2"/>
    <w:rsid w:val="00055624"/>
    <w:rsid w:val="000557A3"/>
    <w:rsid w:val="0005594E"/>
    <w:rsid w:val="000559F1"/>
    <w:rsid w:val="00055F68"/>
    <w:rsid w:val="00056DB6"/>
    <w:rsid w:val="0005716B"/>
    <w:rsid w:val="000573A2"/>
    <w:rsid w:val="0005757D"/>
    <w:rsid w:val="00057750"/>
    <w:rsid w:val="00057AC7"/>
    <w:rsid w:val="00057CF8"/>
    <w:rsid w:val="00057EA7"/>
    <w:rsid w:val="00060094"/>
    <w:rsid w:val="000600F5"/>
    <w:rsid w:val="000602B6"/>
    <w:rsid w:val="00060A5D"/>
    <w:rsid w:val="00060B08"/>
    <w:rsid w:val="00060BF4"/>
    <w:rsid w:val="00061065"/>
    <w:rsid w:val="0006126A"/>
    <w:rsid w:val="0006184A"/>
    <w:rsid w:val="000618CF"/>
    <w:rsid w:val="00061D38"/>
    <w:rsid w:val="00061DB6"/>
    <w:rsid w:val="0006201D"/>
    <w:rsid w:val="000624B4"/>
    <w:rsid w:val="00062559"/>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2F"/>
    <w:rsid w:val="000703F0"/>
    <w:rsid w:val="000705AE"/>
    <w:rsid w:val="0007066B"/>
    <w:rsid w:val="00070889"/>
    <w:rsid w:val="00071399"/>
    <w:rsid w:val="00071407"/>
    <w:rsid w:val="00071CCB"/>
    <w:rsid w:val="00071F92"/>
    <w:rsid w:val="000724B6"/>
    <w:rsid w:val="00072AD9"/>
    <w:rsid w:val="00072E2E"/>
    <w:rsid w:val="0007309B"/>
    <w:rsid w:val="000738FD"/>
    <w:rsid w:val="00073927"/>
    <w:rsid w:val="00073A92"/>
    <w:rsid w:val="00073B10"/>
    <w:rsid w:val="00073B5E"/>
    <w:rsid w:val="000746E8"/>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47E"/>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3B2"/>
    <w:rsid w:val="00091853"/>
    <w:rsid w:val="00091ABB"/>
    <w:rsid w:val="00091D48"/>
    <w:rsid w:val="000920BD"/>
    <w:rsid w:val="000929EA"/>
    <w:rsid w:val="00092A5C"/>
    <w:rsid w:val="00092B46"/>
    <w:rsid w:val="00092C57"/>
    <w:rsid w:val="00092CCA"/>
    <w:rsid w:val="00093082"/>
    <w:rsid w:val="0009334E"/>
    <w:rsid w:val="000934B3"/>
    <w:rsid w:val="00094282"/>
    <w:rsid w:val="0009487E"/>
    <w:rsid w:val="00094955"/>
    <w:rsid w:val="0009551E"/>
    <w:rsid w:val="000955A4"/>
    <w:rsid w:val="00095C3A"/>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5EF1"/>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0AB"/>
    <w:rsid w:val="000C4240"/>
    <w:rsid w:val="000C429A"/>
    <w:rsid w:val="000C45FE"/>
    <w:rsid w:val="000C4972"/>
    <w:rsid w:val="000C4ECD"/>
    <w:rsid w:val="000C577F"/>
    <w:rsid w:val="000C5E7D"/>
    <w:rsid w:val="000C62FC"/>
    <w:rsid w:val="000C64C0"/>
    <w:rsid w:val="000C6C88"/>
    <w:rsid w:val="000C735C"/>
    <w:rsid w:val="000C7443"/>
    <w:rsid w:val="000C7512"/>
    <w:rsid w:val="000C7C6A"/>
    <w:rsid w:val="000C7D1C"/>
    <w:rsid w:val="000D05EC"/>
    <w:rsid w:val="000D09B9"/>
    <w:rsid w:val="000D0C3A"/>
    <w:rsid w:val="000D0E32"/>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112"/>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20"/>
    <w:rsid w:val="000E3537"/>
    <w:rsid w:val="000E36A4"/>
    <w:rsid w:val="000E3D52"/>
    <w:rsid w:val="000E3D57"/>
    <w:rsid w:val="000E3E09"/>
    <w:rsid w:val="000E3FC6"/>
    <w:rsid w:val="000E4225"/>
    <w:rsid w:val="000E4271"/>
    <w:rsid w:val="000E469B"/>
    <w:rsid w:val="000E484F"/>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56"/>
    <w:rsid w:val="000F00D8"/>
    <w:rsid w:val="000F01A6"/>
    <w:rsid w:val="000F01F5"/>
    <w:rsid w:val="000F0429"/>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740"/>
    <w:rsid w:val="000F6F20"/>
    <w:rsid w:val="000F7238"/>
    <w:rsid w:val="000F72C3"/>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1B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641"/>
    <w:rsid w:val="0011277E"/>
    <w:rsid w:val="00112C2B"/>
    <w:rsid w:val="00112CE4"/>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35F"/>
    <w:rsid w:val="001154E0"/>
    <w:rsid w:val="001157F5"/>
    <w:rsid w:val="0011584B"/>
    <w:rsid w:val="001166D4"/>
    <w:rsid w:val="00116B77"/>
    <w:rsid w:val="001171D6"/>
    <w:rsid w:val="001174BB"/>
    <w:rsid w:val="00117A4E"/>
    <w:rsid w:val="00120697"/>
    <w:rsid w:val="0012070A"/>
    <w:rsid w:val="0012093B"/>
    <w:rsid w:val="00120A0D"/>
    <w:rsid w:val="00120B32"/>
    <w:rsid w:val="00120BE8"/>
    <w:rsid w:val="00120F73"/>
    <w:rsid w:val="00121167"/>
    <w:rsid w:val="00121729"/>
    <w:rsid w:val="001218EA"/>
    <w:rsid w:val="00121AF1"/>
    <w:rsid w:val="00121BC0"/>
    <w:rsid w:val="00121C28"/>
    <w:rsid w:val="0012263D"/>
    <w:rsid w:val="001227B8"/>
    <w:rsid w:val="00122904"/>
    <w:rsid w:val="00122914"/>
    <w:rsid w:val="00122B56"/>
    <w:rsid w:val="00122EC0"/>
    <w:rsid w:val="001230F6"/>
    <w:rsid w:val="00123244"/>
    <w:rsid w:val="00123496"/>
    <w:rsid w:val="001235A3"/>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007"/>
    <w:rsid w:val="001315A9"/>
    <w:rsid w:val="001317A7"/>
    <w:rsid w:val="00131A50"/>
    <w:rsid w:val="001321B3"/>
    <w:rsid w:val="00132346"/>
    <w:rsid w:val="00132581"/>
    <w:rsid w:val="00132A1F"/>
    <w:rsid w:val="001330A4"/>
    <w:rsid w:val="001330ED"/>
    <w:rsid w:val="00133157"/>
    <w:rsid w:val="001332E9"/>
    <w:rsid w:val="00133A68"/>
    <w:rsid w:val="00133A6E"/>
    <w:rsid w:val="00133E67"/>
    <w:rsid w:val="00133EF8"/>
    <w:rsid w:val="001340B2"/>
    <w:rsid w:val="00134454"/>
    <w:rsid w:val="001348A1"/>
    <w:rsid w:val="00134991"/>
    <w:rsid w:val="001352CD"/>
    <w:rsid w:val="00135314"/>
    <w:rsid w:val="00135391"/>
    <w:rsid w:val="00135620"/>
    <w:rsid w:val="001357D0"/>
    <w:rsid w:val="00135F7C"/>
    <w:rsid w:val="00136047"/>
    <w:rsid w:val="001361A8"/>
    <w:rsid w:val="001363F4"/>
    <w:rsid w:val="0013654C"/>
    <w:rsid w:val="0013671C"/>
    <w:rsid w:val="00136A30"/>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35"/>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812"/>
    <w:rsid w:val="00145E21"/>
    <w:rsid w:val="00145F34"/>
    <w:rsid w:val="001464F2"/>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1C7"/>
    <w:rsid w:val="001617D4"/>
    <w:rsid w:val="00161E09"/>
    <w:rsid w:val="00162514"/>
    <w:rsid w:val="00162676"/>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073"/>
    <w:rsid w:val="00166659"/>
    <w:rsid w:val="001667E7"/>
    <w:rsid w:val="00167146"/>
    <w:rsid w:val="00167FDF"/>
    <w:rsid w:val="00170C25"/>
    <w:rsid w:val="00170D4E"/>
    <w:rsid w:val="00170F41"/>
    <w:rsid w:val="00171303"/>
    <w:rsid w:val="0017169D"/>
    <w:rsid w:val="00171EE9"/>
    <w:rsid w:val="00172053"/>
    <w:rsid w:val="001721C1"/>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5018"/>
    <w:rsid w:val="0017525F"/>
    <w:rsid w:val="00175977"/>
    <w:rsid w:val="00175D67"/>
    <w:rsid w:val="00175F47"/>
    <w:rsid w:val="0017626A"/>
    <w:rsid w:val="00176D05"/>
    <w:rsid w:val="00177475"/>
    <w:rsid w:val="0017785F"/>
    <w:rsid w:val="001801D5"/>
    <w:rsid w:val="0018071A"/>
    <w:rsid w:val="00180C8E"/>
    <w:rsid w:val="00181244"/>
    <w:rsid w:val="00181350"/>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5C92"/>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AD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994"/>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3EDE"/>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9AA"/>
    <w:rsid w:val="001B6F5C"/>
    <w:rsid w:val="001B7391"/>
    <w:rsid w:val="001B73F0"/>
    <w:rsid w:val="001B75C9"/>
    <w:rsid w:val="001B778F"/>
    <w:rsid w:val="001B79B2"/>
    <w:rsid w:val="001B7A39"/>
    <w:rsid w:val="001B7BBD"/>
    <w:rsid w:val="001B7C05"/>
    <w:rsid w:val="001C00FF"/>
    <w:rsid w:val="001C02EB"/>
    <w:rsid w:val="001C0316"/>
    <w:rsid w:val="001C0776"/>
    <w:rsid w:val="001C0CE6"/>
    <w:rsid w:val="001C0D15"/>
    <w:rsid w:val="001C127E"/>
    <w:rsid w:val="001C128D"/>
    <w:rsid w:val="001C14CC"/>
    <w:rsid w:val="001C16C8"/>
    <w:rsid w:val="001C172B"/>
    <w:rsid w:val="001C181E"/>
    <w:rsid w:val="001C1964"/>
    <w:rsid w:val="001C1ED7"/>
    <w:rsid w:val="001C22A8"/>
    <w:rsid w:val="001C2ECF"/>
    <w:rsid w:val="001C308C"/>
    <w:rsid w:val="001C3214"/>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03"/>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67B"/>
    <w:rsid w:val="001D7B87"/>
    <w:rsid w:val="001D7BF0"/>
    <w:rsid w:val="001E072A"/>
    <w:rsid w:val="001E0A83"/>
    <w:rsid w:val="001E0E7B"/>
    <w:rsid w:val="001E0EAE"/>
    <w:rsid w:val="001E10B5"/>
    <w:rsid w:val="001E1172"/>
    <w:rsid w:val="001E147D"/>
    <w:rsid w:val="001E16D4"/>
    <w:rsid w:val="001E1705"/>
    <w:rsid w:val="001E1760"/>
    <w:rsid w:val="001E19E6"/>
    <w:rsid w:val="001E1A77"/>
    <w:rsid w:val="001E20DE"/>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2CE"/>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B83"/>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B5F"/>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7E5"/>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3A5"/>
    <w:rsid w:val="00215554"/>
    <w:rsid w:val="0021564B"/>
    <w:rsid w:val="00215692"/>
    <w:rsid w:val="002156BF"/>
    <w:rsid w:val="00215832"/>
    <w:rsid w:val="002159F8"/>
    <w:rsid w:val="00215A32"/>
    <w:rsid w:val="00216225"/>
    <w:rsid w:val="002162FD"/>
    <w:rsid w:val="00216939"/>
    <w:rsid w:val="00216D40"/>
    <w:rsid w:val="00217421"/>
    <w:rsid w:val="0021743B"/>
    <w:rsid w:val="00217675"/>
    <w:rsid w:val="002176AD"/>
    <w:rsid w:val="002177C7"/>
    <w:rsid w:val="00217F6D"/>
    <w:rsid w:val="0022008A"/>
    <w:rsid w:val="00220157"/>
    <w:rsid w:val="002201BE"/>
    <w:rsid w:val="0022028A"/>
    <w:rsid w:val="00220519"/>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0FD"/>
    <w:rsid w:val="00231604"/>
    <w:rsid w:val="00231731"/>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A6A"/>
    <w:rsid w:val="00241BBD"/>
    <w:rsid w:val="00241E46"/>
    <w:rsid w:val="00242075"/>
    <w:rsid w:val="002420AC"/>
    <w:rsid w:val="00242322"/>
    <w:rsid w:val="002424E5"/>
    <w:rsid w:val="002425C4"/>
    <w:rsid w:val="0024289A"/>
    <w:rsid w:val="002429EF"/>
    <w:rsid w:val="00242A00"/>
    <w:rsid w:val="00242EBC"/>
    <w:rsid w:val="00243292"/>
    <w:rsid w:val="002439C6"/>
    <w:rsid w:val="00243A5E"/>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6ED"/>
    <w:rsid w:val="002737F1"/>
    <w:rsid w:val="00273C4B"/>
    <w:rsid w:val="00274627"/>
    <w:rsid w:val="0027471A"/>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61D"/>
    <w:rsid w:val="00277A3E"/>
    <w:rsid w:val="00277C39"/>
    <w:rsid w:val="002801D5"/>
    <w:rsid w:val="0028042C"/>
    <w:rsid w:val="00280476"/>
    <w:rsid w:val="00280B7E"/>
    <w:rsid w:val="002811F3"/>
    <w:rsid w:val="00281283"/>
    <w:rsid w:val="00281355"/>
    <w:rsid w:val="00281756"/>
    <w:rsid w:val="0028179B"/>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5F9C"/>
    <w:rsid w:val="002860A4"/>
    <w:rsid w:val="0028612D"/>
    <w:rsid w:val="0028646F"/>
    <w:rsid w:val="00286516"/>
    <w:rsid w:val="00286AA3"/>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5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584"/>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5E3"/>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6F7"/>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5DC"/>
    <w:rsid w:val="002E0C00"/>
    <w:rsid w:val="002E0D1B"/>
    <w:rsid w:val="002E13F9"/>
    <w:rsid w:val="002E1941"/>
    <w:rsid w:val="002E1E31"/>
    <w:rsid w:val="002E2217"/>
    <w:rsid w:val="002E24ED"/>
    <w:rsid w:val="002E2658"/>
    <w:rsid w:val="002E28EB"/>
    <w:rsid w:val="002E290F"/>
    <w:rsid w:val="002E29A7"/>
    <w:rsid w:val="002E2F72"/>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8A9"/>
    <w:rsid w:val="002E5CF5"/>
    <w:rsid w:val="002E6239"/>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A08"/>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97A"/>
    <w:rsid w:val="002F7C26"/>
    <w:rsid w:val="002F7C9B"/>
    <w:rsid w:val="002F7D3A"/>
    <w:rsid w:val="002F7D57"/>
    <w:rsid w:val="002F7E3C"/>
    <w:rsid w:val="002F7EFA"/>
    <w:rsid w:val="00300222"/>
    <w:rsid w:val="00300574"/>
    <w:rsid w:val="00300841"/>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0BC"/>
    <w:rsid w:val="0031235D"/>
    <w:rsid w:val="00312446"/>
    <w:rsid w:val="003125B6"/>
    <w:rsid w:val="003125DF"/>
    <w:rsid w:val="00312853"/>
    <w:rsid w:val="00312993"/>
    <w:rsid w:val="00312D38"/>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605"/>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409"/>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E36"/>
    <w:rsid w:val="00330E74"/>
    <w:rsid w:val="00331489"/>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63"/>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228"/>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0E20"/>
    <w:rsid w:val="00361927"/>
    <w:rsid w:val="00361DCD"/>
    <w:rsid w:val="00361E83"/>
    <w:rsid w:val="0036217E"/>
    <w:rsid w:val="00363394"/>
    <w:rsid w:val="00363673"/>
    <w:rsid w:val="00363E97"/>
    <w:rsid w:val="003643FA"/>
    <w:rsid w:val="00364480"/>
    <w:rsid w:val="00364C93"/>
    <w:rsid w:val="00364D06"/>
    <w:rsid w:val="003653EF"/>
    <w:rsid w:val="00365414"/>
    <w:rsid w:val="0036615F"/>
    <w:rsid w:val="00366320"/>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3E4"/>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2A5"/>
    <w:rsid w:val="00377378"/>
    <w:rsid w:val="00377B6F"/>
    <w:rsid w:val="00377EB0"/>
    <w:rsid w:val="00377FA2"/>
    <w:rsid w:val="0038010C"/>
    <w:rsid w:val="00380389"/>
    <w:rsid w:val="003806BC"/>
    <w:rsid w:val="003806CE"/>
    <w:rsid w:val="00380856"/>
    <w:rsid w:val="003810D9"/>
    <w:rsid w:val="00381138"/>
    <w:rsid w:val="0038131E"/>
    <w:rsid w:val="0038171B"/>
    <w:rsid w:val="00381A3C"/>
    <w:rsid w:val="00381AE7"/>
    <w:rsid w:val="00381D65"/>
    <w:rsid w:val="00382284"/>
    <w:rsid w:val="00382A9C"/>
    <w:rsid w:val="00382AE0"/>
    <w:rsid w:val="00382B74"/>
    <w:rsid w:val="00382B89"/>
    <w:rsid w:val="00382D2C"/>
    <w:rsid w:val="003831D5"/>
    <w:rsid w:val="00383A1C"/>
    <w:rsid w:val="00383BEC"/>
    <w:rsid w:val="00383C54"/>
    <w:rsid w:val="00384065"/>
    <w:rsid w:val="0038428A"/>
    <w:rsid w:val="003843DE"/>
    <w:rsid w:val="0038484B"/>
    <w:rsid w:val="00384CBF"/>
    <w:rsid w:val="00384EF2"/>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8"/>
    <w:rsid w:val="003910E9"/>
    <w:rsid w:val="00391403"/>
    <w:rsid w:val="0039181D"/>
    <w:rsid w:val="0039207D"/>
    <w:rsid w:val="00392626"/>
    <w:rsid w:val="0039269B"/>
    <w:rsid w:val="0039281A"/>
    <w:rsid w:val="00392A93"/>
    <w:rsid w:val="00392AD4"/>
    <w:rsid w:val="00392E52"/>
    <w:rsid w:val="0039321A"/>
    <w:rsid w:val="00393A89"/>
    <w:rsid w:val="00393ADA"/>
    <w:rsid w:val="003944EC"/>
    <w:rsid w:val="00394630"/>
    <w:rsid w:val="003956BA"/>
    <w:rsid w:val="003959B5"/>
    <w:rsid w:val="00395C29"/>
    <w:rsid w:val="00396708"/>
    <w:rsid w:val="00396876"/>
    <w:rsid w:val="003968EC"/>
    <w:rsid w:val="00396CDF"/>
    <w:rsid w:val="003972ED"/>
    <w:rsid w:val="0039742D"/>
    <w:rsid w:val="003974C0"/>
    <w:rsid w:val="00397804"/>
    <w:rsid w:val="003A012F"/>
    <w:rsid w:val="003A0DB2"/>
    <w:rsid w:val="003A145D"/>
    <w:rsid w:val="003A1BA6"/>
    <w:rsid w:val="003A1BCE"/>
    <w:rsid w:val="003A1BD0"/>
    <w:rsid w:val="003A1D6E"/>
    <w:rsid w:val="003A1E7D"/>
    <w:rsid w:val="003A1EB0"/>
    <w:rsid w:val="003A1F73"/>
    <w:rsid w:val="003A2262"/>
    <w:rsid w:val="003A2543"/>
    <w:rsid w:val="003A2841"/>
    <w:rsid w:val="003A2F1C"/>
    <w:rsid w:val="003A31DF"/>
    <w:rsid w:val="003A348E"/>
    <w:rsid w:val="003A3640"/>
    <w:rsid w:val="003A36A8"/>
    <w:rsid w:val="003A3BB6"/>
    <w:rsid w:val="003A40F2"/>
    <w:rsid w:val="003A40F4"/>
    <w:rsid w:val="003A4154"/>
    <w:rsid w:val="003A43E3"/>
    <w:rsid w:val="003A48A3"/>
    <w:rsid w:val="003A4B95"/>
    <w:rsid w:val="003A4BB4"/>
    <w:rsid w:val="003A4ECF"/>
    <w:rsid w:val="003A4FD1"/>
    <w:rsid w:val="003A50EC"/>
    <w:rsid w:val="003A53CD"/>
    <w:rsid w:val="003A56BD"/>
    <w:rsid w:val="003A59D5"/>
    <w:rsid w:val="003A5D7E"/>
    <w:rsid w:val="003A606D"/>
    <w:rsid w:val="003A6173"/>
    <w:rsid w:val="003A640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35"/>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1EE1"/>
    <w:rsid w:val="003C2087"/>
    <w:rsid w:val="003C2093"/>
    <w:rsid w:val="003C20A5"/>
    <w:rsid w:val="003C27AB"/>
    <w:rsid w:val="003C286E"/>
    <w:rsid w:val="003C2F9C"/>
    <w:rsid w:val="003C30F7"/>
    <w:rsid w:val="003C338A"/>
    <w:rsid w:val="003C345B"/>
    <w:rsid w:val="003C3916"/>
    <w:rsid w:val="003C39CC"/>
    <w:rsid w:val="003C3E25"/>
    <w:rsid w:val="003C3EF0"/>
    <w:rsid w:val="003C40FB"/>
    <w:rsid w:val="003C41CF"/>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41C"/>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E7C7E"/>
    <w:rsid w:val="003F013A"/>
    <w:rsid w:val="003F0590"/>
    <w:rsid w:val="003F06C1"/>
    <w:rsid w:val="003F08B4"/>
    <w:rsid w:val="003F0ECE"/>
    <w:rsid w:val="003F1167"/>
    <w:rsid w:val="003F12D0"/>
    <w:rsid w:val="003F187A"/>
    <w:rsid w:val="003F1CD4"/>
    <w:rsid w:val="003F2118"/>
    <w:rsid w:val="003F223A"/>
    <w:rsid w:val="003F2627"/>
    <w:rsid w:val="003F267D"/>
    <w:rsid w:val="003F2CE4"/>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3A9"/>
    <w:rsid w:val="00402B06"/>
    <w:rsid w:val="00402BF6"/>
    <w:rsid w:val="00402D92"/>
    <w:rsid w:val="00403BE4"/>
    <w:rsid w:val="00404230"/>
    <w:rsid w:val="004047EC"/>
    <w:rsid w:val="00404DC5"/>
    <w:rsid w:val="00405460"/>
    <w:rsid w:val="004055CB"/>
    <w:rsid w:val="00405BB4"/>
    <w:rsid w:val="00406323"/>
    <w:rsid w:val="004063D6"/>
    <w:rsid w:val="00406512"/>
    <w:rsid w:val="004066F3"/>
    <w:rsid w:val="00406B9B"/>
    <w:rsid w:val="00406D2D"/>
    <w:rsid w:val="00406F20"/>
    <w:rsid w:val="00407014"/>
    <w:rsid w:val="00407210"/>
    <w:rsid w:val="004072A8"/>
    <w:rsid w:val="0040732A"/>
    <w:rsid w:val="004078FD"/>
    <w:rsid w:val="00407969"/>
    <w:rsid w:val="00407D0A"/>
    <w:rsid w:val="00407EC3"/>
    <w:rsid w:val="00407FC2"/>
    <w:rsid w:val="004103F9"/>
    <w:rsid w:val="004107B3"/>
    <w:rsid w:val="004115E6"/>
    <w:rsid w:val="004116B5"/>
    <w:rsid w:val="0041183D"/>
    <w:rsid w:val="00411C50"/>
    <w:rsid w:val="00411C8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ADC"/>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4E0"/>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909"/>
    <w:rsid w:val="004339AF"/>
    <w:rsid w:val="00433BF5"/>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55A"/>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3E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5C0"/>
    <w:rsid w:val="0045063F"/>
    <w:rsid w:val="00450925"/>
    <w:rsid w:val="00450AA0"/>
    <w:rsid w:val="00451203"/>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298"/>
    <w:rsid w:val="0046158F"/>
    <w:rsid w:val="00461C54"/>
    <w:rsid w:val="00461D73"/>
    <w:rsid w:val="00461DE2"/>
    <w:rsid w:val="00461EBD"/>
    <w:rsid w:val="00462520"/>
    <w:rsid w:val="004625D8"/>
    <w:rsid w:val="0046263A"/>
    <w:rsid w:val="00462AF9"/>
    <w:rsid w:val="00462C92"/>
    <w:rsid w:val="00462D0F"/>
    <w:rsid w:val="00462EFC"/>
    <w:rsid w:val="004631AC"/>
    <w:rsid w:val="0046331A"/>
    <w:rsid w:val="00463F96"/>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8"/>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1F1"/>
    <w:rsid w:val="0048128D"/>
    <w:rsid w:val="0048140B"/>
    <w:rsid w:val="00481AC0"/>
    <w:rsid w:val="00481B60"/>
    <w:rsid w:val="004821C6"/>
    <w:rsid w:val="00482303"/>
    <w:rsid w:val="004823E4"/>
    <w:rsid w:val="004825B4"/>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7B4"/>
    <w:rsid w:val="00486C8E"/>
    <w:rsid w:val="00486CF4"/>
    <w:rsid w:val="00486E1F"/>
    <w:rsid w:val="004870E9"/>
    <w:rsid w:val="004871A3"/>
    <w:rsid w:val="004871B4"/>
    <w:rsid w:val="00487224"/>
    <w:rsid w:val="004872B7"/>
    <w:rsid w:val="004873B5"/>
    <w:rsid w:val="00487637"/>
    <w:rsid w:val="004877BC"/>
    <w:rsid w:val="00487A6A"/>
    <w:rsid w:val="00487DC0"/>
    <w:rsid w:val="0049035C"/>
    <w:rsid w:val="0049089F"/>
    <w:rsid w:val="00490A8E"/>
    <w:rsid w:val="00490F59"/>
    <w:rsid w:val="0049168C"/>
    <w:rsid w:val="00491A8F"/>
    <w:rsid w:val="00491BAA"/>
    <w:rsid w:val="00491BCF"/>
    <w:rsid w:val="004928AB"/>
    <w:rsid w:val="00492961"/>
    <w:rsid w:val="00493280"/>
    <w:rsid w:val="0049371E"/>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B86"/>
    <w:rsid w:val="004A4D62"/>
    <w:rsid w:val="004A4F1B"/>
    <w:rsid w:val="004A4F88"/>
    <w:rsid w:val="004A526D"/>
    <w:rsid w:val="004A550A"/>
    <w:rsid w:val="004A58E1"/>
    <w:rsid w:val="004A5FBF"/>
    <w:rsid w:val="004A63E4"/>
    <w:rsid w:val="004A63EC"/>
    <w:rsid w:val="004A6661"/>
    <w:rsid w:val="004A6947"/>
    <w:rsid w:val="004A6DF8"/>
    <w:rsid w:val="004A6F0E"/>
    <w:rsid w:val="004A701D"/>
    <w:rsid w:val="004A73AB"/>
    <w:rsid w:val="004A740D"/>
    <w:rsid w:val="004A752E"/>
    <w:rsid w:val="004A7591"/>
    <w:rsid w:val="004A7C59"/>
    <w:rsid w:val="004A7E6B"/>
    <w:rsid w:val="004A7E83"/>
    <w:rsid w:val="004B00E1"/>
    <w:rsid w:val="004B06B3"/>
    <w:rsid w:val="004B0A55"/>
    <w:rsid w:val="004B0A56"/>
    <w:rsid w:val="004B0F75"/>
    <w:rsid w:val="004B101E"/>
    <w:rsid w:val="004B11A7"/>
    <w:rsid w:val="004B12DB"/>
    <w:rsid w:val="004B1534"/>
    <w:rsid w:val="004B189B"/>
    <w:rsid w:val="004B2256"/>
    <w:rsid w:val="004B2643"/>
    <w:rsid w:val="004B26D6"/>
    <w:rsid w:val="004B2B00"/>
    <w:rsid w:val="004B2B6C"/>
    <w:rsid w:val="004B2E7C"/>
    <w:rsid w:val="004B3191"/>
    <w:rsid w:val="004B37D3"/>
    <w:rsid w:val="004B37DC"/>
    <w:rsid w:val="004B3AF1"/>
    <w:rsid w:val="004B3B9E"/>
    <w:rsid w:val="004B42E7"/>
    <w:rsid w:val="004B455E"/>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249"/>
    <w:rsid w:val="004C06C4"/>
    <w:rsid w:val="004C07BB"/>
    <w:rsid w:val="004C07FE"/>
    <w:rsid w:val="004C0D2B"/>
    <w:rsid w:val="004C0E96"/>
    <w:rsid w:val="004C0F5B"/>
    <w:rsid w:val="004C1012"/>
    <w:rsid w:val="004C1A0C"/>
    <w:rsid w:val="004C1A88"/>
    <w:rsid w:val="004C1ADC"/>
    <w:rsid w:val="004C1BAA"/>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73C"/>
    <w:rsid w:val="004C4EA6"/>
    <w:rsid w:val="004C5C7E"/>
    <w:rsid w:val="004C5DD6"/>
    <w:rsid w:val="004C5FC5"/>
    <w:rsid w:val="004C6351"/>
    <w:rsid w:val="004C6D1B"/>
    <w:rsid w:val="004C6D74"/>
    <w:rsid w:val="004C6F98"/>
    <w:rsid w:val="004C73A2"/>
    <w:rsid w:val="004C7A35"/>
    <w:rsid w:val="004D0109"/>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403"/>
    <w:rsid w:val="004D59CF"/>
    <w:rsid w:val="004D5AFD"/>
    <w:rsid w:val="004D5EF6"/>
    <w:rsid w:val="004D6455"/>
    <w:rsid w:val="004D6787"/>
    <w:rsid w:val="004D6A39"/>
    <w:rsid w:val="004D6F59"/>
    <w:rsid w:val="004D7209"/>
    <w:rsid w:val="004D7258"/>
    <w:rsid w:val="004D764F"/>
    <w:rsid w:val="004D77AD"/>
    <w:rsid w:val="004E02D7"/>
    <w:rsid w:val="004E02F7"/>
    <w:rsid w:val="004E0353"/>
    <w:rsid w:val="004E07D8"/>
    <w:rsid w:val="004E0EC5"/>
    <w:rsid w:val="004E1002"/>
    <w:rsid w:val="004E1319"/>
    <w:rsid w:val="004E134C"/>
    <w:rsid w:val="004E13FD"/>
    <w:rsid w:val="004E1723"/>
    <w:rsid w:val="004E1975"/>
    <w:rsid w:val="004E1A9F"/>
    <w:rsid w:val="004E1AF2"/>
    <w:rsid w:val="004E1E85"/>
    <w:rsid w:val="004E1FA7"/>
    <w:rsid w:val="004E24D2"/>
    <w:rsid w:val="004E2E67"/>
    <w:rsid w:val="004E3030"/>
    <w:rsid w:val="004E315B"/>
    <w:rsid w:val="004E394E"/>
    <w:rsid w:val="004E3C76"/>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26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5C"/>
    <w:rsid w:val="0051137F"/>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36D"/>
    <w:rsid w:val="0051659C"/>
    <w:rsid w:val="0051673C"/>
    <w:rsid w:val="005169BB"/>
    <w:rsid w:val="0051733D"/>
    <w:rsid w:val="00517378"/>
    <w:rsid w:val="0051787B"/>
    <w:rsid w:val="00517C0D"/>
    <w:rsid w:val="00517F5C"/>
    <w:rsid w:val="0052014E"/>
    <w:rsid w:val="0052064C"/>
    <w:rsid w:val="005207C7"/>
    <w:rsid w:val="00520CB1"/>
    <w:rsid w:val="00520FBE"/>
    <w:rsid w:val="0052138E"/>
    <w:rsid w:val="00521B6F"/>
    <w:rsid w:val="00521BC1"/>
    <w:rsid w:val="00521D36"/>
    <w:rsid w:val="00521FC4"/>
    <w:rsid w:val="00522708"/>
    <w:rsid w:val="00522B65"/>
    <w:rsid w:val="00522FD2"/>
    <w:rsid w:val="005231ED"/>
    <w:rsid w:val="005237A5"/>
    <w:rsid w:val="005237FB"/>
    <w:rsid w:val="005239A0"/>
    <w:rsid w:val="00523C20"/>
    <w:rsid w:val="00523D54"/>
    <w:rsid w:val="00523DB4"/>
    <w:rsid w:val="00523DBB"/>
    <w:rsid w:val="00523E1B"/>
    <w:rsid w:val="00523ED4"/>
    <w:rsid w:val="005246D9"/>
    <w:rsid w:val="0052485D"/>
    <w:rsid w:val="00524924"/>
    <w:rsid w:val="00524CB1"/>
    <w:rsid w:val="00524F52"/>
    <w:rsid w:val="00525211"/>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CED"/>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21"/>
    <w:rsid w:val="00540480"/>
    <w:rsid w:val="00540678"/>
    <w:rsid w:val="005408A0"/>
    <w:rsid w:val="005408B7"/>
    <w:rsid w:val="005408DF"/>
    <w:rsid w:val="00540A70"/>
    <w:rsid w:val="00540DD8"/>
    <w:rsid w:val="00540FF0"/>
    <w:rsid w:val="0054102C"/>
    <w:rsid w:val="00541179"/>
    <w:rsid w:val="005414C9"/>
    <w:rsid w:val="0054163B"/>
    <w:rsid w:val="00541711"/>
    <w:rsid w:val="0054175E"/>
    <w:rsid w:val="0054206E"/>
    <w:rsid w:val="00542076"/>
    <w:rsid w:val="005424A9"/>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649"/>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8AD"/>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00E"/>
    <w:rsid w:val="00566269"/>
    <w:rsid w:val="0056748C"/>
    <w:rsid w:val="00567848"/>
    <w:rsid w:val="005679D7"/>
    <w:rsid w:val="00567E33"/>
    <w:rsid w:val="00567FC3"/>
    <w:rsid w:val="00570114"/>
    <w:rsid w:val="005701A2"/>
    <w:rsid w:val="005704DC"/>
    <w:rsid w:val="00570A2E"/>
    <w:rsid w:val="00570B18"/>
    <w:rsid w:val="00570D6C"/>
    <w:rsid w:val="00570D8C"/>
    <w:rsid w:val="00570E10"/>
    <w:rsid w:val="00571552"/>
    <w:rsid w:val="005719FA"/>
    <w:rsid w:val="00571F5F"/>
    <w:rsid w:val="00572889"/>
    <w:rsid w:val="005729C6"/>
    <w:rsid w:val="00572AC6"/>
    <w:rsid w:val="005734D7"/>
    <w:rsid w:val="005736E9"/>
    <w:rsid w:val="0057379E"/>
    <w:rsid w:val="0057395C"/>
    <w:rsid w:val="0057407D"/>
    <w:rsid w:val="00574173"/>
    <w:rsid w:val="0057430E"/>
    <w:rsid w:val="0057436A"/>
    <w:rsid w:val="00574472"/>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B9"/>
    <w:rsid w:val="00577AC9"/>
    <w:rsid w:val="00577B00"/>
    <w:rsid w:val="00577C63"/>
    <w:rsid w:val="00577CB1"/>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A83"/>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AE"/>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C18"/>
    <w:rsid w:val="005B4DBF"/>
    <w:rsid w:val="005B51D0"/>
    <w:rsid w:val="005B52B6"/>
    <w:rsid w:val="005B55E2"/>
    <w:rsid w:val="005B5767"/>
    <w:rsid w:val="005B5770"/>
    <w:rsid w:val="005B5D09"/>
    <w:rsid w:val="005B630F"/>
    <w:rsid w:val="005B6439"/>
    <w:rsid w:val="005B64C3"/>
    <w:rsid w:val="005B67BA"/>
    <w:rsid w:val="005B6B8A"/>
    <w:rsid w:val="005B6F71"/>
    <w:rsid w:val="005B6FAF"/>
    <w:rsid w:val="005B7564"/>
    <w:rsid w:val="005B7DA4"/>
    <w:rsid w:val="005B7E13"/>
    <w:rsid w:val="005C0293"/>
    <w:rsid w:val="005C11A9"/>
    <w:rsid w:val="005C1D65"/>
    <w:rsid w:val="005C2237"/>
    <w:rsid w:val="005C33B8"/>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882"/>
    <w:rsid w:val="005D2946"/>
    <w:rsid w:val="005D295E"/>
    <w:rsid w:val="005D2E67"/>
    <w:rsid w:val="005D2E95"/>
    <w:rsid w:val="005D334A"/>
    <w:rsid w:val="005D339E"/>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132"/>
    <w:rsid w:val="005D6523"/>
    <w:rsid w:val="005D6539"/>
    <w:rsid w:val="005D6AA9"/>
    <w:rsid w:val="005D6E3A"/>
    <w:rsid w:val="005D7410"/>
    <w:rsid w:val="005D7459"/>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2EF"/>
    <w:rsid w:val="005E5CF1"/>
    <w:rsid w:val="005E6170"/>
    <w:rsid w:val="005E647F"/>
    <w:rsid w:val="005E64D8"/>
    <w:rsid w:val="005E6853"/>
    <w:rsid w:val="005E68BB"/>
    <w:rsid w:val="005E691C"/>
    <w:rsid w:val="005E7445"/>
    <w:rsid w:val="005E77ED"/>
    <w:rsid w:val="005E78E3"/>
    <w:rsid w:val="005E78FF"/>
    <w:rsid w:val="005E7A1A"/>
    <w:rsid w:val="005E7D95"/>
    <w:rsid w:val="005E7EB8"/>
    <w:rsid w:val="005E7FC6"/>
    <w:rsid w:val="005F0248"/>
    <w:rsid w:val="005F0313"/>
    <w:rsid w:val="005F05A1"/>
    <w:rsid w:val="005F06BC"/>
    <w:rsid w:val="005F0FDE"/>
    <w:rsid w:val="005F1387"/>
    <w:rsid w:val="005F28A5"/>
    <w:rsid w:val="005F2C91"/>
    <w:rsid w:val="005F2D77"/>
    <w:rsid w:val="005F2EF8"/>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6D10"/>
    <w:rsid w:val="005F72DE"/>
    <w:rsid w:val="005F74A2"/>
    <w:rsid w:val="005F7955"/>
    <w:rsid w:val="005F7C7A"/>
    <w:rsid w:val="006002B5"/>
    <w:rsid w:val="006005D9"/>
    <w:rsid w:val="006007CA"/>
    <w:rsid w:val="00600AFD"/>
    <w:rsid w:val="00600B10"/>
    <w:rsid w:val="00600B3A"/>
    <w:rsid w:val="0060105E"/>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6CD"/>
    <w:rsid w:val="00605E50"/>
    <w:rsid w:val="006060DD"/>
    <w:rsid w:val="006060F7"/>
    <w:rsid w:val="006063D5"/>
    <w:rsid w:val="00606BEA"/>
    <w:rsid w:val="00607090"/>
    <w:rsid w:val="006070EC"/>
    <w:rsid w:val="00607553"/>
    <w:rsid w:val="006076C6"/>
    <w:rsid w:val="006079C7"/>
    <w:rsid w:val="00607A5C"/>
    <w:rsid w:val="00607A7B"/>
    <w:rsid w:val="00607B90"/>
    <w:rsid w:val="00607CA6"/>
    <w:rsid w:val="00607D66"/>
    <w:rsid w:val="00607D8C"/>
    <w:rsid w:val="006104F5"/>
    <w:rsid w:val="0061050A"/>
    <w:rsid w:val="0061097A"/>
    <w:rsid w:val="00610C31"/>
    <w:rsid w:val="00610F63"/>
    <w:rsid w:val="00610FAD"/>
    <w:rsid w:val="00610FC3"/>
    <w:rsid w:val="006111D7"/>
    <w:rsid w:val="00611241"/>
    <w:rsid w:val="00611317"/>
    <w:rsid w:val="0061143B"/>
    <w:rsid w:val="006119FF"/>
    <w:rsid w:val="00611B3A"/>
    <w:rsid w:val="00612150"/>
    <w:rsid w:val="006122E8"/>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5E3"/>
    <w:rsid w:val="00626A55"/>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073"/>
    <w:rsid w:val="006371EB"/>
    <w:rsid w:val="0063782A"/>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3BD"/>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6"/>
    <w:rsid w:val="0065570E"/>
    <w:rsid w:val="00655F48"/>
    <w:rsid w:val="00655FB7"/>
    <w:rsid w:val="00655FFE"/>
    <w:rsid w:val="00656069"/>
    <w:rsid w:val="0065616D"/>
    <w:rsid w:val="00656419"/>
    <w:rsid w:val="006564BD"/>
    <w:rsid w:val="00656916"/>
    <w:rsid w:val="00656BE7"/>
    <w:rsid w:val="00656D15"/>
    <w:rsid w:val="00656D91"/>
    <w:rsid w:val="0065714A"/>
    <w:rsid w:val="0065737E"/>
    <w:rsid w:val="00657569"/>
    <w:rsid w:val="006575FD"/>
    <w:rsid w:val="00657606"/>
    <w:rsid w:val="00657724"/>
    <w:rsid w:val="00657751"/>
    <w:rsid w:val="00657EF3"/>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4AC9"/>
    <w:rsid w:val="0066524E"/>
    <w:rsid w:val="006657FC"/>
    <w:rsid w:val="006659D8"/>
    <w:rsid w:val="006659E2"/>
    <w:rsid w:val="00665D3F"/>
    <w:rsid w:val="00665DF1"/>
    <w:rsid w:val="00665F97"/>
    <w:rsid w:val="0066620E"/>
    <w:rsid w:val="00666220"/>
    <w:rsid w:val="00666699"/>
    <w:rsid w:val="00666C31"/>
    <w:rsid w:val="0066746C"/>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1F7E"/>
    <w:rsid w:val="0067218B"/>
    <w:rsid w:val="006724D4"/>
    <w:rsid w:val="006726C8"/>
    <w:rsid w:val="00672733"/>
    <w:rsid w:val="00672B37"/>
    <w:rsid w:val="00672DFC"/>
    <w:rsid w:val="00672FA5"/>
    <w:rsid w:val="00673435"/>
    <w:rsid w:val="00673721"/>
    <w:rsid w:val="00673ADF"/>
    <w:rsid w:val="00673C39"/>
    <w:rsid w:val="00673E28"/>
    <w:rsid w:val="0067400A"/>
    <w:rsid w:val="0067449F"/>
    <w:rsid w:val="00674D4D"/>
    <w:rsid w:val="00674F7A"/>
    <w:rsid w:val="00674FA0"/>
    <w:rsid w:val="0067504C"/>
    <w:rsid w:val="0067510C"/>
    <w:rsid w:val="00675610"/>
    <w:rsid w:val="00675AE9"/>
    <w:rsid w:val="00675AF6"/>
    <w:rsid w:val="00675C1F"/>
    <w:rsid w:val="00675EB2"/>
    <w:rsid w:val="00675F4D"/>
    <w:rsid w:val="0067675F"/>
    <w:rsid w:val="006769C0"/>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A30"/>
    <w:rsid w:val="00681AE9"/>
    <w:rsid w:val="00681B80"/>
    <w:rsid w:val="00682014"/>
    <w:rsid w:val="00682312"/>
    <w:rsid w:val="00682579"/>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5B6"/>
    <w:rsid w:val="00691A40"/>
    <w:rsid w:val="00691B2F"/>
    <w:rsid w:val="00692359"/>
    <w:rsid w:val="00692540"/>
    <w:rsid w:val="00692797"/>
    <w:rsid w:val="006928A1"/>
    <w:rsid w:val="006928DC"/>
    <w:rsid w:val="00693237"/>
    <w:rsid w:val="00693462"/>
    <w:rsid w:val="006938E5"/>
    <w:rsid w:val="0069413A"/>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AE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3D0"/>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1E43"/>
    <w:rsid w:val="006C2445"/>
    <w:rsid w:val="006C24A6"/>
    <w:rsid w:val="006C27CF"/>
    <w:rsid w:val="006C2A35"/>
    <w:rsid w:val="006C2F64"/>
    <w:rsid w:val="006C331B"/>
    <w:rsid w:val="006C370F"/>
    <w:rsid w:val="006C393E"/>
    <w:rsid w:val="006C3D18"/>
    <w:rsid w:val="006C3E30"/>
    <w:rsid w:val="006C3ED8"/>
    <w:rsid w:val="006C3F47"/>
    <w:rsid w:val="006C3F51"/>
    <w:rsid w:val="006C41BB"/>
    <w:rsid w:val="006C4896"/>
    <w:rsid w:val="006C4F9B"/>
    <w:rsid w:val="006C5416"/>
    <w:rsid w:val="006C54AE"/>
    <w:rsid w:val="006C5503"/>
    <w:rsid w:val="006C559B"/>
    <w:rsid w:val="006C5B73"/>
    <w:rsid w:val="006C5E51"/>
    <w:rsid w:val="006C6B99"/>
    <w:rsid w:val="006C6DE4"/>
    <w:rsid w:val="006C7011"/>
    <w:rsid w:val="006C70DC"/>
    <w:rsid w:val="006C7332"/>
    <w:rsid w:val="006C7340"/>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02F"/>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8C7"/>
    <w:rsid w:val="006E097F"/>
    <w:rsid w:val="006E09FC"/>
    <w:rsid w:val="006E0BF7"/>
    <w:rsid w:val="006E0C87"/>
    <w:rsid w:val="006E0CAE"/>
    <w:rsid w:val="006E161B"/>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99"/>
    <w:rsid w:val="006E6FF6"/>
    <w:rsid w:val="006E72A4"/>
    <w:rsid w:val="006E741B"/>
    <w:rsid w:val="006E7751"/>
    <w:rsid w:val="006E79F3"/>
    <w:rsid w:val="006E7C88"/>
    <w:rsid w:val="006E7C97"/>
    <w:rsid w:val="006E7D95"/>
    <w:rsid w:val="006E7DB1"/>
    <w:rsid w:val="006E7E73"/>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24"/>
    <w:rsid w:val="006F5AB4"/>
    <w:rsid w:val="006F60B6"/>
    <w:rsid w:val="006F6740"/>
    <w:rsid w:val="006F6D72"/>
    <w:rsid w:val="006F6FCA"/>
    <w:rsid w:val="006F7301"/>
    <w:rsid w:val="006F7583"/>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593F"/>
    <w:rsid w:val="0070653C"/>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1E59"/>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AC7"/>
    <w:rsid w:val="00723CFD"/>
    <w:rsid w:val="00723FFF"/>
    <w:rsid w:val="00724362"/>
    <w:rsid w:val="007243AC"/>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5E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51C"/>
    <w:rsid w:val="00747761"/>
    <w:rsid w:val="00747776"/>
    <w:rsid w:val="00747FF7"/>
    <w:rsid w:val="00750186"/>
    <w:rsid w:val="007505F6"/>
    <w:rsid w:val="0075061D"/>
    <w:rsid w:val="007510F0"/>
    <w:rsid w:val="00751256"/>
    <w:rsid w:val="0075148E"/>
    <w:rsid w:val="00751806"/>
    <w:rsid w:val="007518F2"/>
    <w:rsid w:val="00752197"/>
    <w:rsid w:val="007521C3"/>
    <w:rsid w:val="0075224B"/>
    <w:rsid w:val="007522A6"/>
    <w:rsid w:val="00752490"/>
    <w:rsid w:val="007526F4"/>
    <w:rsid w:val="00752764"/>
    <w:rsid w:val="00752901"/>
    <w:rsid w:val="0075299D"/>
    <w:rsid w:val="00752A6B"/>
    <w:rsid w:val="00752BA5"/>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CD4"/>
    <w:rsid w:val="00760FB1"/>
    <w:rsid w:val="0076183F"/>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33"/>
    <w:rsid w:val="00783451"/>
    <w:rsid w:val="0078366D"/>
    <w:rsid w:val="00783A0A"/>
    <w:rsid w:val="00783A4B"/>
    <w:rsid w:val="00783C86"/>
    <w:rsid w:val="00783F77"/>
    <w:rsid w:val="00784138"/>
    <w:rsid w:val="00784637"/>
    <w:rsid w:val="007849BE"/>
    <w:rsid w:val="00784AEC"/>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21"/>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35"/>
    <w:rsid w:val="007A0D55"/>
    <w:rsid w:val="007A0E12"/>
    <w:rsid w:val="007A0E13"/>
    <w:rsid w:val="007A1017"/>
    <w:rsid w:val="007A10C5"/>
    <w:rsid w:val="007A132D"/>
    <w:rsid w:val="007A157E"/>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3DA4"/>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19"/>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C7D90"/>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4EF"/>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87E"/>
    <w:rsid w:val="007F4A82"/>
    <w:rsid w:val="007F4B5B"/>
    <w:rsid w:val="007F4BD4"/>
    <w:rsid w:val="007F4D40"/>
    <w:rsid w:val="007F4DF9"/>
    <w:rsid w:val="007F55EB"/>
    <w:rsid w:val="007F58C6"/>
    <w:rsid w:val="007F58F8"/>
    <w:rsid w:val="007F59CE"/>
    <w:rsid w:val="007F5BB6"/>
    <w:rsid w:val="007F6042"/>
    <w:rsid w:val="007F61CA"/>
    <w:rsid w:val="007F655E"/>
    <w:rsid w:val="007F6B40"/>
    <w:rsid w:val="007F6DB6"/>
    <w:rsid w:val="007F6E18"/>
    <w:rsid w:val="007F746B"/>
    <w:rsid w:val="007F74B3"/>
    <w:rsid w:val="007F7939"/>
    <w:rsid w:val="007F79DD"/>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AE8"/>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BB4"/>
    <w:rsid w:val="00811CD4"/>
    <w:rsid w:val="00812168"/>
    <w:rsid w:val="008121EF"/>
    <w:rsid w:val="008125CF"/>
    <w:rsid w:val="0081298D"/>
    <w:rsid w:val="00812F96"/>
    <w:rsid w:val="0081319A"/>
    <w:rsid w:val="0081320C"/>
    <w:rsid w:val="00813236"/>
    <w:rsid w:val="00813399"/>
    <w:rsid w:val="008135BC"/>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8A0"/>
    <w:rsid w:val="00823B25"/>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6CB"/>
    <w:rsid w:val="00831757"/>
    <w:rsid w:val="008317EC"/>
    <w:rsid w:val="00831B92"/>
    <w:rsid w:val="00831D80"/>
    <w:rsid w:val="00831EA7"/>
    <w:rsid w:val="00831EE5"/>
    <w:rsid w:val="008321A6"/>
    <w:rsid w:val="0083242E"/>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30C"/>
    <w:rsid w:val="00837957"/>
    <w:rsid w:val="008379DB"/>
    <w:rsid w:val="00837AE5"/>
    <w:rsid w:val="00837AE7"/>
    <w:rsid w:val="00840141"/>
    <w:rsid w:val="00840406"/>
    <w:rsid w:val="00840CF5"/>
    <w:rsid w:val="00840D35"/>
    <w:rsid w:val="00840D36"/>
    <w:rsid w:val="008414FC"/>
    <w:rsid w:val="0084186A"/>
    <w:rsid w:val="00841DD6"/>
    <w:rsid w:val="00841E49"/>
    <w:rsid w:val="00842340"/>
    <w:rsid w:val="008430F5"/>
    <w:rsid w:val="00843547"/>
    <w:rsid w:val="0084397B"/>
    <w:rsid w:val="00843A34"/>
    <w:rsid w:val="00843BAD"/>
    <w:rsid w:val="00843F12"/>
    <w:rsid w:val="008444B7"/>
    <w:rsid w:val="0084484D"/>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693"/>
    <w:rsid w:val="008548A6"/>
    <w:rsid w:val="00854956"/>
    <w:rsid w:val="008549E7"/>
    <w:rsid w:val="00854A66"/>
    <w:rsid w:val="00854A70"/>
    <w:rsid w:val="00854C1F"/>
    <w:rsid w:val="00854CA6"/>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86F"/>
    <w:rsid w:val="00863959"/>
    <w:rsid w:val="00863A68"/>
    <w:rsid w:val="00863EFA"/>
    <w:rsid w:val="00863F67"/>
    <w:rsid w:val="008640E5"/>
    <w:rsid w:val="0086411C"/>
    <w:rsid w:val="00864260"/>
    <w:rsid w:val="008642D6"/>
    <w:rsid w:val="00864B69"/>
    <w:rsid w:val="00864B72"/>
    <w:rsid w:val="00864CF3"/>
    <w:rsid w:val="00864D5D"/>
    <w:rsid w:val="00865088"/>
    <w:rsid w:val="0086515E"/>
    <w:rsid w:val="008653D0"/>
    <w:rsid w:val="00865504"/>
    <w:rsid w:val="00865C91"/>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4F8"/>
    <w:rsid w:val="00874B12"/>
    <w:rsid w:val="00874C1B"/>
    <w:rsid w:val="00874C80"/>
    <w:rsid w:val="00874EC2"/>
    <w:rsid w:val="00874F18"/>
    <w:rsid w:val="00874F8B"/>
    <w:rsid w:val="008750F3"/>
    <w:rsid w:val="00875238"/>
    <w:rsid w:val="00875538"/>
    <w:rsid w:val="00875C21"/>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8BA"/>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2D"/>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09A"/>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229"/>
    <w:rsid w:val="008A6323"/>
    <w:rsid w:val="008A67E2"/>
    <w:rsid w:val="008A685F"/>
    <w:rsid w:val="008A688D"/>
    <w:rsid w:val="008A6F92"/>
    <w:rsid w:val="008A6FDA"/>
    <w:rsid w:val="008A7402"/>
    <w:rsid w:val="008A747E"/>
    <w:rsid w:val="008A749E"/>
    <w:rsid w:val="008A773A"/>
    <w:rsid w:val="008A79FA"/>
    <w:rsid w:val="008A7B95"/>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ADA"/>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4CB"/>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6DF"/>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11E"/>
    <w:rsid w:val="008D1A2D"/>
    <w:rsid w:val="008D1A36"/>
    <w:rsid w:val="008D1A72"/>
    <w:rsid w:val="008D1D6A"/>
    <w:rsid w:val="008D2354"/>
    <w:rsid w:val="008D28BD"/>
    <w:rsid w:val="008D2EE6"/>
    <w:rsid w:val="008D2EFF"/>
    <w:rsid w:val="008D2F52"/>
    <w:rsid w:val="008D30BE"/>
    <w:rsid w:val="008D3269"/>
    <w:rsid w:val="008D3914"/>
    <w:rsid w:val="008D3D9C"/>
    <w:rsid w:val="008D45DD"/>
    <w:rsid w:val="008D5323"/>
    <w:rsid w:val="008D55AC"/>
    <w:rsid w:val="008D5751"/>
    <w:rsid w:val="008D5810"/>
    <w:rsid w:val="008D5D0C"/>
    <w:rsid w:val="008D5F61"/>
    <w:rsid w:val="008D613E"/>
    <w:rsid w:val="008D6240"/>
    <w:rsid w:val="008D65C0"/>
    <w:rsid w:val="008D75AA"/>
    <w:rsid w:val="008D7EEA"/>
    <w:rsid w:val="008E0190"/>
    <w:rsid w:val="008E04A9"/>
    <w:rsid w:val="008E07C0"/>
    <w:rsid w:val="008E0B6C"/>
    <w:rsid w:val="008E0C87"/>
    <w:rsid w:val="008E0CC2"/>
    <w:rsid w:val="008E0FC5"/>
    <w:rsid w:val="008E2242"/>
    <w:rsid w:val="008E2980"/>
    <w:rsid w:val="008E2A77"/>
    <w:rsid w:val="008E2E7F"/>
    <w:rsid w:val="008E3609"/>
    <w:rsid w:val="008E3AE2"/>
    <w:rsid w:val="008E3BE1"/>
    <w:rsid w:val="008E406C"/>
    <w:rsid w:val="008E439E"/>
    <w:rsid w:val="008E4628"/>
    <w:rsid w:val="008E47C6"/>
    <w:rsid w:val="008E480D"/>
    <w:rsid w:val="008E4DBE"/>
    <w:rsid w:val="008E522E"/>
    <w:rsid w:val="008E5309"/>
    <w:rsid w:val="008E53E0"/>
    <w:rsid w:val="008E55DD"/>
    <w:rsid w:val="008E564A"/>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CE5"/>
    <w:rsid w:val="008F3D0D"/>
    <w:rsid w:val="008F3DFB"/>
    <w:rsid w:val="008F4285"/>
    <w:rsid w:val="008F4A6B"/>
    <w:rsid w:val="008F4AC6"/>
    <w:rsid w:val="008F4B79"/>
    <w:rsid w:val="008F4D1A"/>
    <w:rsid w:val="008F5067"/>
    <w:rsid w:val="008F511B"/>
    <w:rsid w:val="008F519C"/>
    <w:rsid w:val="008F52A6"/>
    <w:rsid w:val="008F5433"/>
    <w:rsid w:val="008F6146"/>
    <w:rsid w:val="008F66C9"/>
    <w:rsid w:val="008F6EE8"/>
    <w:rsid w:val="008F792A"/>
    <w:rsid w:val="008F793D"/>
    <w:rsid w:val="008F7C72"/>
    <w:rsid w:val="0090018E"/>
    <w:rsid w:val="009002C2"/>
    <w:rsid w:val="00900415"/>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29"/>
    <w:rsid w:val="00904D49"/>
    <w:rsid w:val="0090536D"/>
    <w:rsid w:val="00905653"/>
    <w:rsid w:val="00905AB9"/>
    <w:rsid w:val="0090624D"/>
    <w:rsid w:val="0090636E"/>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081"/>
    <w:rsid w:val="00912646"/>
    <w:rsid w:val="00912779"/>
    <w:rsid w:val="009129C0"/>
    <w:rsid w:val="00913116"/>
    <w:rsid w:val="00913295"/>
    <w:rsid w:val="009134E1"/>
    <w:rsid w:val="00913688"/>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0FE"/>
    <w:rsid w:val="009161D2"/>
    <w:rsid w:val="00916347"/>
    <w:rsid w:val="009170A4"/>
    <w:rsid w:val="009176C5"/>
    <w:rsid w:val="00917A49"/>
    <w:rsid w:val="00917C56"/>
    <w:rsid w:val="009200B6"/>
    <w:rsid w:val="009201E0"/>
    <w:rsid w:val="0092028B"/>
    <w:rsid w:val="0092040A"/>
    <w:rsid w:val="00920E12"/>
    <w:rsid w:val="00921128"/>
    <w:rsid w:val="009213AA"/>
    <w:rsid w:val="0092169A"/>
    <w:rsid w:val="009217A6"/>
    <w:rsid w:val="00921865"/>
    <w:rsid w:val="009219FF"/>
    <w:rsid w:val="00921BD1"/>
    <w:rsid w:val="00922022"/>
    <w:rsid w:val="00922040"/>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CF"/>
    <w:rsid w:val="009347E5"/>
    <w:rsid w:val="009348A8"/>
    <w:rsid w:val="00934928"/>
    <w:rsid w:val="0093495A"/>
    <w:rsid w:val="0093496F"/>
    <w:rsid w:val="00934E66"/>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E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41E"/>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7EE"/>
    <w:rsid w:val="00957A27"/>
    <w:rsid w:val="00957AF5"/>
    <w:rsid w:val="00957C6F"/>
    <w:rsid w:val="00960087"/>
    <w:rsid w:val="0096084F"/>
    <w:rsid w:val="009608F1"/>
    <w:rsid w:val="00960997"/>
    <w:rsid w:val="00960DF3"/>
    <w:rsid w:val="00960E7E"/>
    <w:rsid w:val="00960EFB"/>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53"/>
    <w:rsid w:val="0096378D"/>
    <w:rsid w:val="00963C31"/>
    <w:rsid w:val="00964509"/>
    <w:rsid w:val="0096459B"/>
    <w:rsid w:val="009645E9"/>
    <w:rsid w:val="009645F3"/>
    <w:rsid w:val="009648E1"/>
    <w:rsid w:val="00964C3B"/>
    <w:rsid w:val="00964EAC"/>
    <w:rsid w:val="00964F7B"/>
    <w:rsid w:val="009650A4"/>
    <w:rsid w:val="009655B1"/>
    <w:rsid w:val="00965F6F"/>
    <w:rsid w:val="009660A3"/>
    <w:rsid w:val="00966112"/>
    <w:rsid w:val="00966226"/>
    <w:rsid w:val="009664C8"/>
    <w:rsid w:val="009665BA"/>
    <w:rsid w:val="0096677D"/>
    <w:rsid w:val="00966F43"/>
    <w:rsid w:val="00967345"/>
    <w:rsid w:val="00967451"/>
    <w:rsid w:val="009675BE"/>
    <w:rsid w:val="00967815"/>
    <w:rsid w:val="009678BB"/>
    <w:rsid w:val="00967951"/>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EF1"/>
    <w:rsid w:val="00974FCB"/>
    <w:rsid w:val="00974FE1"/>
    <w:rsid w:val="009750AC"/>
    <w:rsid w:val="009756A1"/>
    <w:rsid w:val="009758B2"/>
    <w:rsid w:val="009758E6"/>
    <w:rsid w:val="00975946"/>
    <w:rsid w:val="00975BCF"/>
    <w:rsid w:val="00975C81"/>
    <w:rsid w:val="00975D9B"/>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7E"/>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4C0"/>
    <w:rsid w:val="00990610"/>
    <w:rsid w:val="0099061F"/>
    <w:rsid w:val="00990624"/>
    <w:rsid w:val="00990716"/>
    <w:rsid w:val="0099080C"/>
    <w:rsid w:val="00990A8F"/>
    <w:rsid w:val="00990B7A"/>
    <w:rsid w:val="00990CC8"/>
    <w:rsid w:val="0099108D"/>
    <w:rsid w:val="00991234"/>
    <w:rsid w:val="00991349"/>
    <w:rsid w:val="0099165F"/>
    <w:rsid w:val="00991CB2"/>
    <w:rsid w:val="00991E9C"/>
    <w:rsid w:val="00991FE9"/>
    <w:rsid w:val="009926E7"/>
    <w:rsid w:val="009928ED"/>
    <w:rsid w:val="009929E1"/>
    <w:rsid w:val="00992CE7"/>
    <w:rsid w:val="00993036"/>
    <w:rsid w:val="00993951"/>
    <w:rsid w:val="00993BF5"/>
    <w:rsid w:val="009940AA"/>
    <w:rsid w:val="00994236"/>
    <w:rsid w:val="0099524A"/>
    <w:rsid w:val="0099548C"/>
    <w:rsid w:val="009956AF"/>
    <w:rsid w:val="009958E9"/>
    <w:rsid w:val="00995A70"/>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3B3"/>
    <w:rsid w:val="009A2699"/>
    <w:rsid w:val="009A2965"/>
    <w:rsid w:val="009A2AC0"/>
    <w:rsid w:val="009A2AEF"/>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77"/>
    <w:rsid w:val="009A6796"/>
    <w:rsid w:val="009A6EC1"/>
    <w:rsid w:val="009A733E"/>
    <w:rsid w:val="009A7DA2"/>
    <w:rsid w:val="009A7E75"/>
    <w:rsid w:val="009B00A3"/>
    <w:rsid w:val="009B01D0"/>
    <w:rsid w:val="009B0571"/>
    <w:rsid w:val="009B05E1"/>
    <w:rsid w:val="009B0952"/>
    <w:rsid w:val="009B0ABC"/>
    <w:rsid w:val="009B0BF2"/>
    <w:rsid w:val="009B127C"/>
    <w:rsid w:val="009B147D"/>
    <w:rsid w:val="009B161E"/>
    <w:rsid w:val="009B1D1B"/>
    <w:rsid w:val="009B1F55"/>
    <w:rsid w:val="009B2058"/>
    <w:rsid w:val="009B21FF"/>
    <w:rsid w:val="009B23D9"/>
    <w:rsid w:val="009B2795"/>
    <w:rsid w:val="009B2CB4"/>
    <w:rsid w:val="009B3A2C"/>
    <w:rsid w:val="009B3B4D"/>
    <w:rsid w:val="009B4789"/>
    <w:rsid w:val="009B4A1B"/>
    <w:rsid w:val="009B4CD7"/>
    <w:rsid w:val="009B4F0E"/>
    <w:rsid w:val="009B503D"/>
    <w:rsid w:val="009B5129"/>
    <w:rsid w:val="009B51FC"/>
    <w:rsid w:val="009B53C4"/>
    <w:rsid w:val="009B586E"/>
    <w:rsid w:val="009B596D"/>
    <w:rsid w:val="009B59C0"/>
    <w:rsid w:val="009B5AAD"/>
    <w:rsid w:val="009B5AB0"/>
    <w:rsid w:val="009B5ACF"/>
    <w:rsid w:val="009B5AFD"/>
    <w:rsid w:val="009B5C6B"/>
    <w:rsid w:val="009B63E9"/>
    <w:rsid w:val="009B663A"/>
    <w:rsid w:val="009B68D9"/>
    <w:rsid w:val="009B6AA7"/>
    <w:rsid w:val="009B7284"/>
    <w:rsid w:val="009B7580"/>
    <w:rsid w:val="009B75FA"/>
    <w:rsid w:val="009B79C0"/>
    <w:rsid w:val="009B7CE6"/>
    <w:rsid w:val="009B7DAF"/>
    <w:rsid w:val="009B7F89"/>
    <w:rsid w:val="009C0056"/>
    <w:rsid w:val="009C0372"/>
    <w:rsid w:val="009C0720"/>
    <w:rsid w:val="009C07FB"/>
    <w:rsid w:val="009C0BEE"/>
    <w:rsid w:val="009C0DB0"/>
    <w:rsid w:val="009C10BA"/>
    <w:rsid w:val="009C10F5"/>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D56"/>
    <w:rsid w:val="009C5F31"/>
    <w:rsid w:val="009C5FC0"/>
    <w:rsid w:val="009C641F"/>
    <w:rsid w:val="009C646D"/>
    <w:rsid w:val="009C66C8"/>
    <w:rsid w:val="009C672B"/>
    <w:rsid w:val="009C675D"/>
    <w:rsid w:val="009C6D3F"/>
    <w:rsid w:val="009C76FA"/>
    <w:rsid w:val="009C7737"/>
    <w:rsid w:val="009C7893"/>
    <w:rsid w:val="009C7E11"/>
    <w:rsid w:val="009D0A9D"/>
    <w:rsid w:val="009D0B41"/>
    <w:rsid w:val="009D0D12"/>
    <w:rsid w:val="009D0E15"/>
    <w:rsid w:val="009D0F82"/>
    <w:rsid w:val="009D13C2"/>
    <w:rsid w:val="009D1933"/>
    <w:rsid w:val="009D1D53"/>
    <w:rsid w:val="009D1FF2"/>
    <w:rsid w:val="009D2325"/>
    <w:rsid w:val="009D253D"/>
    <w:rsid w:val="009D2D40"/>
    <w:rsid w:val="009D2DC5"/>
    <w:rsid w:val="009D3040"/>
    <w:rsid w:val="009D3574"/>
    <w:rsid w:val="009D3A0F"/>
    <w:rsid w:val="009D4002"/>
    <w:rsid w:val="009D4190"/>
    <w:rsid w:val="009D4746"/>
    <w:rsid w:val="009D4980"/>
    <w:rsid w:val="009D4A32"/>
    <w:rsid w:val="009D4C8F"/>
    <w:rsid w:val="009D4D1D"/>
    <w:rsid w:val="009D4F6C"/>
    <w:rsid w:val="009D5028"/>
    <w:rsid w:val="009D5488"/>
    <w:rsid w:val="009D559F"/>
    <w:rsid w:val="009D5A1F"/>
    <w:rsid w:val="009D5ADE"/>
    <w:rsid w:val="009D5DE3"/>
    <w:rsid w:val="009D5E7E"/>
    <w:rsid w:val="009D622B"/>
    <w:rsid w:val="009D6711"/>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00"/>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2FA1"/>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17C"/>
    <w:rsid w:val="00A06442"/>
    <w:rsid w:val="00A06841"/>
    <w:rsid w:val="00A06880"/>
    <w:rsid w:val="00A06CB2"/>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24D"/>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801"/>
    <w:rsid w:val="00A25A6F"/>
    <w:rsid w:val="00A25E5E"/>
    <w:rsid w:val="00A2600F"/>
    <w:rsid w:val="00A2614E"/>
    <w:rsid w:val="00A263FA"/>
    <w:rsid w:val="00A266C8"/>
    <w:rsid w:val="00A2674D"/>
    <w:rsid w:val="00A26A03"/>
    <w:rsid w:val="00A26F82"/>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2A1B"/>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C54"/>
    <w:rsid w:val="00A45D8C"/>
    <w:rsid w:val="00A463F3"/>
    <w:rsid w:val="00A4652A"/>
    <w:rsid w:val="00A46582"/>
    <w:rsid w:val="00A46802"/>
    <w:rsid w:val="00A4691B"/>
    <w:rsid w:val="00A46A3D"/>
    <w:rsid w:val="00A46AE5"/>
    <w:rsid w:val="00A46CBB"/>
    <w:rsid w:val="00A47639"/>
    <w:rsid w:val="00A477DD"/>
    <w:rsid w:val="00A47C2D"/>
    <w:rsid w:val="00A47D79"/>
    <w:rsid w:val="00A47FEC"/>
    <w:rsid w:val="00A5025A"/>
    <w:rsid w:val="00A50710"/>
    <w:rsid w:val="00A50A46"/>
    <w:rsid w:val="00A50A8B"/>
    <w:rsid w:val="00A50C73"/>
    <w:rsid w:val="00A50D82"/>
    <w:rsid w:val="00A5116F"/>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6E5"/>
    <w:rsid w:val="00A55AE7"/>
    <w:rsid w:val="00A55C76"/>
    <w:rsid w:val="00A55E2B"/>
    <w:rsid w:val="00A55E42"/>
    <w:rsid w:val="00A55F28"/>
    <w:rsid w:val="00A561A8"/>
    <w:rsid w:val="00A56371"/>
    <w:rsid w:val="00A565FA"/>
    <w:rsid w:val="00A567B5"/>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699"/>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2D3"/>
    <w:rsid w:val="00A7142B"/>
    <w:rsid w:val="00A715DB"/>
    <w:rsid w:val="00A718F3"/>
    <w:rsid w:val="00A72481"/>
    <w:rsid w:val="00A72545"/>
    <w:rsid w:val="00A72873"/>
    <w:rsid w:val="00A729F1"/>
    <w:rsid w:val="00A72C50"/>
    <w:rsid w:val="00A72CF5"/>
    <w:rsid w:val="00A72E98"/>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927"/>
    <w:rsid w:val="00A83B8C"/>
    <w:rsid w:val="00A83ED2"/>
    <w:rsid w:val="00A840BA"/>
    <w:rsid w:val="00A84A2B"/>
    <w:rsid w:val="00A850FD"/>
    <w:rsid w:val="00A851A5"/>
    <w:rsid w:val="00A856FA"/>
    <w:rsid w:val="00A859A7"/>
    <w:rsid w:val="00A86534"/>
    <w:rsid w:val="00A873C8"/>
    <w:rsid w:val="00A87739"/>
    <w:rsid w:val="00A877B3"/>
    <w:rsid w:val="00A87849"/>
    <w:rsid w:val="00A87981"/>
    <w:rsid w:val="00A87C5A"/>
    <w:rsid w:val="00A87D2F"/>
    <w:rsid w:val="00A87E00"/>
    <w:rsid w:val="00A87F33"/>
    <w:rsid w:val="00A90041"/>
    <w:rsid w:val="00A9014D"/>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10"/>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CD6"/>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6C"/>
    <w:rsid w:val="00AA7189"/>
    <w:rsid w:val="00AA7214"/>
    <w:rsid w:val="00AA7C36"/>
    <w:rsid w:val="00AA7C95"/>
    <w:rsid w:val="00AA7CF1"/>
    <w:rsid w:val="00AA7F2A"/>
    <w:rsid w:val="00AB0BA1"/>
    <w:rsid w:val="00AB0FC3"/>
    <w:rsid w:val="00AB1219"/>
    <w:rsid w:val="00AB1531"/>
    <w:rsid w:val="00AB1C3E"/>
    <w:rsid w:val="00AB202E"/>
    <w:rsid w:val="00AB2340"/>
    <w:rsid w:val="00AB2B89"/>
    <w:rsid w:val="00AB2E3F"/>
    <w:rsid w:val="00AB30E5"/>
    <w:rsid w:val="00AB30F8"/>
    <w:rsid w:val="00AB3261"/>
    <w:rsid w:val="00AB3598"/>
    <w:rsid w:val="00AB3735"/>
    <w:rsid w:val="00AB3944"/>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369"/>
    <w:rsid w:val="00AC0392"/>
    <w:rsid w:val="00AC12E4"/>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587"/>
    <w:rsid w:val="00AC787B"/>
    <w:rsid w:val="00AC7C7B"/>
    <w:rsid w:val="00AC7D0C"/>
    <w:rsid w:val="00AC7ECE"/>
    <w:rsid w:val="00AD04A4"/>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A62"/>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723"/>
    <w:rsid w:val="00AE296B"/>
    <w:rsid w:val="00AE2AD8"/>
    <w:rsid w:val="00AE2CA0"/>
    <w:rsid w:val="00AE2FD2"/>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1DA"/>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5512"/>
    <w:rsid w:val="00AF57C1"/>
    <w:rsid w:val="00AF58BA"/>
    <w:rsid w:val="00AF5935"/>
    <w:rsid w:val="00AF5B93"/>
    <w:rsid w:val="00AF5BD2"/>
    <w:rsid w:val="00AF5D9F"/>
    <w:rsid w:val="00AF60E6"/>
    <w:rsid w:val="00AF65E0"/>
    <w:rsid w:val="00AF665A"/>
    <w:rsid w:val="00AF6B13"/>
    <w:rsid w:val="00AF6E52"/>
    <w:rsid w:val="00AF70B9"/>
    <w:rsid w:val="00AF735B"/>
    <w:rsid w:val="00AF743B"/>
    <w:rsid w:val="00AF75F7"/>
    <w:rsid w:val="00AF7AD1"/>
    <w:rsid w:val="00AF7E22"/>
    <w:rsid w:val="00B000E6"/>
    <w:rsid w:val="00B004C7"/>
    <w:rsid w:val="00B00815"/>
    <w:rsid w:val="00B00D0C"/>
    <w:rsid w:val="00B00F58"/>
    <w:rsid w:val="00B01561"/>
    <w:rsid w:val="00B01E4E"/>
    <w:rsid w:val="00B01EDD"/>
    <w:rsid w:val="00B0253E"/>
    <w:rsid w:val="00B025D1"/>
    <w:rsid w:val="00B026BF"/>
    <w:rsid w:val="00B02D2A"/>
    <w:rsid w:val="00B02E0B"/>
    <w:rsid w:val="00B02FF2"/>
    <w:rsid w:val="00B0301B"/>
    <w:rsid w:val="00B03298"/>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31EA"/>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DB0"/>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A6"/>
    <w:rsid w:val="00B2783A"/>
    <w:rsid w:val="00B27F46"/>
    <w:rsid w:val="00B27F48"/>
    <w:rsid w:val="00B30414"/>
    <w:rsid w:val="00B30926"/>
    <w:rsid w:val="00B30B5E"/>
    <w:rsid w:val="00B30C2C"/>
    <w:rsid w:val="00B30EFE"/>
    <w:rsid w:val="00B3140C"/>
    <w:rsid w:val="00B316CA"/>
    <w:rsid w:val="00B317A1"/>
    <w:rsid w:val="00B31872"/>
    <w:rsid w:val="00B31927"/>
    <w:rsid w:val="00B31B88"/>
    <w:rsid w:val="00B31C7C"/>
    <w:rsid w:val="00B323B8"/>
    <w:rsid w:val="00B323DA"/>
    <w:rsid w:val="00B32404"/>
    <w:rsid w:val="00B3265D"/>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A4"/>
    <w:rsid w:val="00B443DC"/>
    <w:rsid w:val="00B444E9"/>
    <w:rsid w:val="00B44A0E"/>
    <w:rsid w:val="00B44E83"/>
    <w:rsid w:val="00B45112"/>
    <w:rsid w:val="00B45565"/>
    <w:rsid w:val="00B4569C"/>
    <w:rsid w:val="00B457AD"/>
    <w:rsid w:val="00B459C1"/>
    <w:rsid w:val="00B45C1A"/>
    <w:rsid w:val="00B45E3A"/>
    <w:rsid w:val="00B462F0"/>
    <w:rsid w:val="00B4698C"/>
    <w:rsid w:val="00B46A46"/>
    <w:rsid w:val="00B46B64"/>
    <w:rsid w:val="00B46E3B"/>
    <w:rsid w:val="00B474B0"/>
    <w:rsid w:val="00B47749"/>
    <w:rsid w:val="00B47888"/>
    <w:rsid w:val="00B47DB7"/>
    <w:rsid w:val="00B47FDC"/>
    <w:rsid w:val="00B50351"/>
    <w:rsid w:val="00B504A4"/>
    <w:rsid w:val="00B50A09"/>
    <w:rsid w:val="00B50A17"/>
    <w:rsid w:val="00B50BA2"/>
    <w:rsid w:val="00B50BF1"/>
    <w:rsid w:val="00B50D3F"/>
    <w:rsid w:val="00B510B2"/>
    <w:rsid w:val="00B51386"/>
    <w:rsid w:val="00B518ED"/>
    <w:rsid w:val="00B51A8B"/>
    <w:rsid w:val="00B51CBA"/>
    <w:rsid w:val="00B51D56"/>
    <w:rsid w:val="00B51F38"/>
    <w:rsid w:val="00B523A6"/>
    <w:rsid w:val="00B525BE"/>
    <w:rsid w:val="00B52826"/>
    <w:rsid w:val="00B52870"/>
    <w:rsid w:val="00B52975"/>
    <w:rsid w:val="00B529AD"/>
    <w:rsid w:val="00B52A1F"/>
    <w:rsid w:val="00B52C02"/>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578B6"/>
    <w:rsid w:val="00B6000D"/>
    <w:rsid w:val="00B601FD"/>
    <w:rsid w:val="00B60878"/>
    <w:rsid w:val="00B61027"/>
    <w:rsid w:val="00B610DC"/>
    <w:rsid w:val="00B61AB9"/>
    <w:rsid w:val="00B61F00"/>
    <w:rsid w:val="00B62128"/>
    <w:rsid w:val="00B626B1"/>
    <w:rsid w:val="00B629DE"/>
    <w:rsid w:val="00B62A48"/>
    <w:rsid w:val="00B62A97"/>
    <w:rsid w:val="00B62DB3"/>
    <w:rsid w:val="00B62F0C"/>
    <w:rsid w:val="00B637D8"/>
    <w:rsid w:val="00B6381C"/>
    <w:rsid w:val="00B638E2"/>
    <w:rsid w:val="00B63EE7"/>
    <w:rsid w:val="00B640B5"/>
    <w:rsid w:val="00B642D4"/>
    <w:rsid w:val="00B643C3"/>
    <w:rsid w:val="00B6480E"/>
    <w:rsid w:val="00B64A9C"/>
    <w:rsid w:val="00B64BB8"/>
    <w:rsid w:val="00B64CCB"/>
    <w:rsid w:val="00B64D57"/>
    <w:rsid w:val="00B65098"/>
    <w:rsid w:val="00B657FD"/>
    <w:rsid w:val="00B65CA2"/>
    <w:rsid w:val="00B6632F"/>
    <w:rsid w:val="00B663D0"/>
    <w:rsid w:val="00B667EC"/>
    <w:rsid w:val="00B669B3"/>
    <w:rsid w:val="00B66DC7"/>
    <w:rsid w:val="00B67066"/>
    <w:rsid w:val="00B670C0"/>
    <w:rsid w:val="00B67191"/>
    <w:rsid w:val="00B67428"/>
    <w:rsid w:val="00B6748D"/>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581"/>
    <w:rsid w:val="00B75642"/>
    <w:rsid w:val="00B758E1"/>
    <w:rsid w:val="00B75EB7"/>
    <w:rsid w:val="00B762A1"/>
    <w:rsid w:val="00B76840"/>
    <w:rsid w:val="00B76B57"/>
    <w:rsid w:val="00B76C73"/>
    <w:rsid w:val="00B76CDA"/>
    <w:rsid w:val="00B76DBC"/>
    <w:rsid w:val="00B770D7"/>
    <w:rsid w:val="00B771A7"/>
    <w:rsid w:val="00B77411"/>
    <w:rsid w:val="00B7746E"/>
    <w:rsid w:val="00B77ED7"/>
    <w:rsid w:val="00B8019B"/>
    <w:rsid w:val="00B801B6"/>
    <w:rsid w:val="00B802C1"/>
    <w:rsid w:val="00B8036E"/>
    <w:rsid w:val="00B80587"/>
    <w:rsid w:val="00B809D3"/>
    <w:rsid w:val="00B80AFA"/>
    <w:rsid w:val="00B80B3E"/>
    <w:rsid w:val="00B80FF0"/>
    <w:rsid w:val="00B81070"/>
    <w:rsid w:val="00B81177"/>
    <w:rsid w:val="00B8136E"/>
    <w:rsid w:val="00B8162A"/>
    <w:rsid w:val="00B81B7A"/>
    <w:rsid w:val="00B81EFF"/>
    <w:rsid w:val="00B820DE"/>
    <w:rsid w:val="00B8255F"/>
    <w:rsid w:val="00B8260D"/>
    <w:rsid w:val="00B826D9"/>
    <w:rsid w:val="00B8284B"/>
    <w:rsid w:val="00B82910"/>
    <w:rsid w:val="00B82D75"/>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8C1"/>
    <w:rsid w:val="00B90994"/>
    <w:rsid w:val="00B90A49"/>
    <w:rsid w:val="00B911E2"/>
    <w:rsid w:val="00B917C9"/>
    <w:rsid w:val="00B9206F"/>
    <w:rsid w:val="00B920F3"/>
    <w:rsid w:val="00B92918"/>
    <w:rsid w:val="00B92983"/>
    <w:rsid w:val="00B92D46"/>
    <w:rsid w:val="00B92E71"/>
    <w:rsid w:val="00B93082"/>
    <w:rsid w:val="00B93225"/>
    <w:rsid w:val="00B9391E"/>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28E"/>
    <w:rsid w:val="00B97433"/>
    <w:rsid w:val="00B976FB"/>
    <w:rsid w:val="00B97787"/>
    <w:rsid w:val="00B97805"/>
    <w:rsid w:val="00B978A9"/>
    <w:rsid w:val="00B97B7E"/>
    <w:rsid w:val="00B97DF4"/>
    <w:rsid w:val="00BA01CC"/>
    <w:rsid w:val="00BA028B"/>
    <w:rsid w:val="00BA02C5"/>
    <w:rsid w:val="00BA090E"/>
    <w:rsid w:val="00BA0A0B"/>
    <w:rsid w:val="00BA0ACF"/>
    <w:rsid w:val="00BA0E45"/>
    <w:rsid w:val="00BA1057"/>
    <w:rsid w:val="00BA13C2"/>
    <w:rsid w:val="00BA13C3"/>
    <w:rsid w:val="00BA1420"/>
    <w:rsid w:val="00BA1A3F"/>
    <w:rsid w:val="00BA2BF6"/>
    <w:rsid w:val="00BA30D3"/>
    <w:rsid w:val="00BA31D7"/>
    <w:rsid w:val="00BA359C"/>
    <w:rsid w:val="00BA3D2D"/>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A7F91"/>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90E"/>
    <w:rsid w:val="00BC2B80"/>
    <w:rsid w:val="00BC2D0C"/>
    <w:rsid w:val="00BC2FA5"/>
    <w:rsid w:val="00BC33FD"/>
    <w:rsid w:val="00BC34B5"/>
    <w:rsid w:val="00BC35A2"/>
    <w:rsid w:val="00BC36E3"/>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9D4"/>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4EA"/>
    <w:rsid w:val="00BD55E1"/>
    <w:rsid w:val="00BD56B4"/>
    <w:rsid w:val="00BD5AEA"/>
    <w:rsid w:val="00BD5B1C"/>
    <w:rsid w:val="00BD5F7C"/>
    <w:rsid w:val="00BD640E"/>
    <w:rsid w:val="00BD6C14"/>
    <w:rsid w:val="00BD6D79"/>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A75"/>
    <w:rsid w:val="00BE0BA5"/>
    <w:rsid w:val="00BE0C04"/>
    <w:rsid w:val="00BE0CA0"/>
    <w:rsid w:val="00BE0CBF"/>
    <w:rsid w:val="00BE0D07"/>
    <w:rsid w:val="00BE0F38"/>
    <w:rsid w:val="00BE0F90"/>
    <w:rsid w:val="00BE10BA"/>
    <w:rsid w:val="00BE167E"/>
    <w:rsid w:val="00BE174A"/>
    <w:rsid w:val="00BE19B0"/>
    <w:rsid w:val="00BE328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5B8"/>
    <w:rsid w:val="00BE6825"/>
    <w:rsid w:val="00BE68CB"/>
    <w:rsid w:val="00BE6A77"/>
    <w:rsid w:val="00BE702F"/>
    <w:rsid w:val="00BE79A6"/>
    <w:rsid w:val="00BE79F0"/>
    <w:rsid w:val="00BE7A36"/>
    <w:rsid w:val="00BE7C2A"/>
    <w:rsid w:val="00BE7F68"/>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391"/>
    <w:rsid w:val="00BF4458"/>
    <w:rsid w:val="00BF486D"/>
    <w:rsid w:val="00BF48C5"/>
    <w:rsid w:val="00BF48FA"/>
    <w:rsid w:val="00BF4EBC"/>
    <w:rsid w:val="00BF4F0A"/>
    <w:rsid w:val="00BF50AE"/>
    <w:rsid w:val="00BF5DFF"/>
    <w:rsid w:val="00BF69D1"/>
    <w:rsid w:val="00BF6D60"/>
    <w:rsid w:val="00BF6DD9"/>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1D4"/>
    <w:rsid w:val="00C022E5"/>
    <w:rsid w:val="00C024C9"/>
    <w:rsid w:val="00C02696"/>
    <w:rsid w:val="00C02B62"/>
    <w:rsid w:val="00C03361"/>
    <w:rsid w:val="00C03759"/>
    <w:rsid w:val="00C0382C"/>
    <w:rsid w:val="00C03BEC"/>
    <w:rsid w:val="00C03D60"/>
    <w:rsid w:val="00C0443D"/>
    <w:rsid w:val="00C04630"/>
    <w:rsid w:val="00C048FC"/>
    <w:rsid w:val="00C04999"/>
    <w:rsid w:val="00C04D01"/>
    <w:rsid w:val="00C04F87"/>
    <w:rsid w:val="00C0531F"/>
    <w:rsid w:val="00C05462"/>
    <w:rsid w:val="00C05C90"/>
    <w:rsid w:val="00C061BC"/>
    <w:rsid w:val="00C063A8"/>
    <w:rsid w:val="00C06407"/>
    <w:rsid w:val="00C067F9"/>
    <w:rsid w:val="00C06DAC"/>
    <w:rsid w:val="00C06E91"/>
    <w:rsid w:val="00C07324"/>
    <w:rsid w:val="00C07789"/>
    <w:rsid w:val="00C07812"/>
    <w:rsid w:val="00C07835"/>
    <w:rsid w:val="00C07A37"/>
    <w:rsid w:val="00C07E2D"/>
    <w:rsid w:val="00C100A5"/>
    <w:rsid w:val="00C10A7A"/>
    <w:rsid w:val="00C10B7B"/>
    <w:rsid w:val="00C10EA1"/>
    <w:rsid w:val="00C1102F"/>
    <w:rsid w:val="00C115D4"/>
    <w:rsid w:val="00C11607"/>
    <w:rsid w:val="00C117E2"/>
    <w:rsid w:val="00C11C1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642"/>
    <w:rsid w:val="00C1568D"/>
    <w:rsid w:val="00C157C9"/>
    <w:rsid w:val="00C15964"/>
    <w:rsid w:val="00C15B0B"/>
    <w:rsid w:val="00C15C21"/>
    <w:rsid w:val="00C15F01"/>
    <w:rsid w:val="00C1619C"/>
    <w:rsid w:val="00C16377"/>
    <w:rsid w:val="00C1637F"/>
    <w:rsid w:val="00C1641D"/>
    <w:rsid w:val="00C16595"/>
    <w:rsid w:val="00C16743"/>
    <w:rsid w:val="00C16E0B"/>
    <w:rsid w:val="00C16F1C"/>
    <w:rsid w:val="00C16F6F"/>
    <w:rsid w:val="00C17125"/>
    <w:rsid w:val="00C17737"/>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149"/>
    <w:rsid w:val="00C23241"/>
    <w:rsid w:val="00C23287"/>
    <w:rsid w:val="00C2388A"/>
    <w:rsid w:val="00C23EEF"/>
    <w:rsid w:val="00C24116"/>
    <w:rsid w:val="00C24344"/>
    <w:rsid w:val="00C247C4"/>
    <w:rsid w:val="00C247FD"/>
    <w:rsid w:val="00C24831"/>
    <w:rsid w:val="00C24A07"/>
    <w:rsid w:val="00C24B64"/>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AD6"/>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58"/>
    <w:rsid w:val="00C463AE"/>
    <w:rsid w:val="00C467B3"/>
    <w:rsid w:val="00C46909"/>
    <w:rsid w:val="00C46AD4"/>
    <w:rsid w:val="00C46C11"/>
    <w:rsid w:val="00C46C6C"/>
    <w:rsid w:val="00C46E90"/>
    <w:rsid w:val="00C470D3"/>
    <w:rsid w:val="00C471E7"/>
    <w:rsid w:val="00C473FD"/>
    <w:rsid w:val="00C476F7"/>
    <w:rsid w:val="00C477A8"/>
    <w:rsid w:val="00C477F2"/>
    <w:rsid w:val="00C47909"/>
    <w:rsid w:val="00C47B4E"/>
    <w:rsid w:val="00C47B83"/>
    <w:rsid w:val="00C47BD2"/>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588"/>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1D0"/>
    <w:rsid w:val="00C8583D"/>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660"/>
    <w:rsid w:val="00CA0820"/>
    <w:rsid w:val="00CA0A11"/>
    <w:rsid w:val="00CA0B6E"/>
    <w:rsid w:val="00CA1962"/>
    <w:rsid w:val="00CA1B2A"/>
    <w:rsid w:val="00CA1FAC"/>
    <w:rsid w:val="00CA1FAE"/>
    <w:rsid w:val="00CA2430"/>
    <w:rsid w:val="00CA309B"/>
    <w:rsid w:val="00CA3358"/>
    <w:rsid w:val="00CA35A0"/>
    <w:rsid w:val="00CA35B3"/>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8AB"/>
    <w:rsid w:val="00CA6D13"/>
    <w:rsid w:val="00CA6D2F"/>
    <w:rsid w:val="00CA6D3D"/>
    <w:rsid w:val="00CA6D52"/>
    <w:rsid w:val="00CA6E27"/>
    <w:rsid w:val="00CA6F62"/>
    <w:rsid w:val="00CA722D"/>
    <w:rsid w:val="00CA728E"/>
    <w:rsid w:val="00CA766F"/>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B2B"/>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17"/>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536B"/>
    <w:rsid w:val="00CC55C1"/>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B50"/>
    <w:rsid w:val="00CD0C7F"/>
    <w:rsid w:val="00CD0D78"/>
    <w:rsid w:val="00CD0F24"/>
    <w:rsid w:val="00CD0F76"/>
    <w:rsid w:val="00CD141F"/>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ED4"/>
    <w:rsid w:val="00CD5384"/>
    <w:rsid w:val="00CD5504"/>
    <w:rsid w:val="00CD558E"/>
    <w:rsid w:val="00CD572D"/>
    <w:rsid w:val="00CD577A"/>
    <w:rsid w:val="00CD594A"/>
    <w:rsid w:val="00CD5A74"/>
    <w:rsid w:val="00CD5D18"/>
    <w:rsid w:val="00CD5E5A"/>
    <w:rsid w:val="00CD5E8A"/>
    <w:rsid w:val="00CD6049"/>
    <w:rsid w:val="00CD6482"/>
    <w:rsid w:val="00CD69BB"/>
    <w:rsid w:val="00CD6B76"/>
    <w:rsid w:val="00CD6D6F"/>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12"/>
    <w:rsid w:val="00CE2C7B"/>
    <w:rsid w:val="00CE2FE2"/>
    <w:rsid w:val="00CE33C9"/>
    <w:rsid w:val="00CE3686"/>
    <w:rsid w:val="00CE3EFA"/>
    <w:rsid w:val="00CE4275"/>
    <w:rsid w:val="00CE42AE"/>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519"/>
    <w:rsid w:val="00D039FD"/>
    <w:rsid w:val="00D03AD2"/>
    <w:rsid w:val="00D03B24"/>
    <w:rsid w:val="00D03CEE"/>
    <w:rsid w:val="00D0405E"/>
    <w:rsid w:val="00D0412E"/>
    <w:rsid w:val="00D04B10"/>
    <w:rsid w:val="00D04D6F"/>
    <w:rsid w:val="00D04E19"/>
    <w:rsid w:val="00D04FBA"/>
    <w:rsid w:val="00D052CF"/>
    <w:rsid w:val="00D0549A"/>
    <w:rsid w:val="00D05571"/>
    <w:rsid w:val="00D058E2"/>
    <w:rsid w:val="00D05B3E"/>
    <w:rsid w:val="00D05CC2"/>
    <w:rsid w:val="00D05D66"/>
    <w:rsid w:val="00D05DE4"/>
    <w:rsid w:val="00D0604F"/>
    <w:rsid w:val="00D062FB"/>
    <w:rsid w:val="00D06386"/>
    <w:rsid w:val="00D067BB"/>
    <w:rsid w:val="00D06852"/>
    <w:rsid w:val="00D0695E"/>
    <w:rsid w:val="00D069F6"/>
    <w:rsid w:val="00D06B5B"/>
    <w:rsid w:val="00D06C3B"/>
    <w:rsid w:val="00D06E70"/>
    <w:rsid w:val="00D06E98"/>
    <w:rsid w:val="00D06F9D"/>
    <w:rsid w:val="00D070D2"/>
    <w:rsid w:val="00D072D6"/>
    <w:rsid w:val="00D07356"/>
    <w:rsid w:val="00D073FF"/>
    <w:rsid w:val="00D1002C"/>
    <w:rsid w:val="00D100D9"/>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6A2A"/>
    <w:rsid w:val="00D1713B"/>
    <w:rsid w:val="00D17540"/>
    <w:rsid w:val="00D175FD"/>
    <w:rsid w:val="00D17618"/>
    <w:rsid w:val="00D1764E"/>
    <w:rsid w:val="00D1770D"/>
    <w:rsid w:val="00D17A23"/>
    <w:rsid w:val="00D17A70"/>
    <w:rsid w:val="00D17A71"/>
    <w:rsid w:val="00D17CA3"/>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6E9"/>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401"/>
    <w:rsid w:val="00D25BDE"/>
    <w:rsid w:val="00D25CF0"/>
    <w:rsid w:val="00D26115"/>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3FD"/>
    <w:rsid w:val="00D35848"/>
    <w:rsid w:val="00D35D5F"/>
    <w:rsid w:val="00D360B4"/>
    <w:rsid w:val="00D36845"/>
    <w:rsid w:val="00D3690F"/>
    <w:rsid w:val="00D369B5"/>
    <w:rsid w:val="00D36B50"/>
    <w:rsid w:val="00D36FF1"/>
    <w:rsid w:val="00D371A8"/>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80F"/>
    <w:rsid w:val="00D42D1B"/>
    <w:rsid w:val="00D42F28"/>
    <w:rsid w:val="00D4321B"/>
    <w:rsid w:val="00D43279"/>
    <w:rsid w:val="00D435B0"/>
    <w:rsid w:val="00D4394A"/>
    <w:rsid w:val="00D43BB4"/>
    <w:rsid w:val="00D43F38"/>
    <w:rsid w:val="00D43FDE"/>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8A3"/>
    <w:rsid w:val="00D47DE3"/>
    <w:rsid w:val="00D47DEC"/>
    <w:rsid w:val="00D47E35"/>
    <w:rsid w:val="00D47F1D"/>
    <w:rsid w:val="00D50141"/>
    <w:rsid w:val="00D5028C"/>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47"/>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10F"/>
    <w:rsid w:val="00D5740A"/>
    <w:rsid w:val="00D5753B"/>
    <w:rsid w:val="00D57547"/>
    <w:rsid w:val="00D5757A"/>
    <w:rsid w:val="00D57A15"/>
    <w:rsid w:val="00D57E19"/>
    <w:rsid w:val="00D57FDA"/>
    <w:rsid w:val="00D60464"/>
    <w:rsid w:val="00D60654"/>
    <w:rsid w:val="00D60A0E"/>
    <w:rsid w:val="00D60A11"/>
    <w:rsid w:val="00D60FF7"/>
    <w:rsid w:val="00D610C8"/>
    <w:rsid w:val="00D6199C"/>
    <w:rsid w:val="00D61D90"/>
    <w:rsid w:val="00D61DBA"/>
    <w:rsid w:val="00D61FA1"/>
    <w:rsid w:val="00D622B9"/>
    <w:rsid w:val="00D62899"/>
    <w:rsid w:val="00D62BF3"/>
    <w:rsid w:val="00D62C8E"/>
    <w:rsid w:val="00D637D4"/>
    <w:rsid w:val="00D638BE"/>
    <w:rsid w:val="00D63C28"/>
    <w:rsid w:val="00D63C8F"/>
    <w:rsid w:val="00D63FDA"/>
    <w:rsid w:val="00D640D1"/>
    <w:rsid w:val="00D6485A"/>
    <w:rsid w:val="00D6492E"/>
    <w:rsid w:val="00D64CEA"/>
    <w:rsid w:val="00D64DA8"/>
    <w:rsid w:val="00D64EBB"/>
    <w:rsid w:val="00D65088"/>
    <w:rsid w:val="00D651F3"/>
    <w:rsid w:val="00D652C9"/>
    <w:rsid w:val="00D6555C"/>
    <w:rsid w:val="00D65828"/>
    <w:rsid w:val="00D65907"/>
    <w:rsid w:val="00D659AF"/>
    <w:rsid w:val="00D66395"/>
    <w:rsid w:val="00D66480"/>
    <w:rsid w:val="00D664AE"/>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9EB"/>
    <w:rsid w:val="00D74D21"/>
    <w:rsid w:val="00D74F1B"/>
    <w:rsid w:val="00D75471"/>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56B"/>
    <w:rsid w:val="00D837F3"/>
    <w:rsid w:val="00D83A6E"/>
    <w:rsid w:val="00D84216"/>
    <w:rsid w:val="00D8432C"/>
    <w:rsid w:val="00D843F9"/>
    <w:rsid w:val="00D846BE"/>
    <w:rsid w:val="00D84979"/>
    <w:rsid w:val="00D84B9B"/>
    <w:rsid w:val="00D84D15"/>
    <w:rsid w:val="00D84F20"/>
    <w:rsid w:val="00D851F4"/>
    <w:rsid w:val="00D852AF"/>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A9"/>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73F"/>
    <w:rsid w:val="00D979FB"/>
    <w:rsid w:val="00D97A5F"/>
    <w:rsid w:val="00D97A93"/>
    <w:rsid w:val="00D97A99"/>
    <w:rsid w:val="00D97C25"/>
    <w:rsid w:val="00D97C78"/>
    <w:rsid w:val="00D97D66"/>
    <w:rsid w:val="00D97DB4"/>
    <w:rsid w:val="00DA046C"/>
    <w:rsid w:val="00DA064C"/>
    <w:rsid w:val="00DA078A"/>
    <w:rsid w:val="00DA0C2C"/>
    <w:rsid w:val="00DA0D89"/>
    <w:rsid w:val="00DA0F32"/>
    <w:rsid w:val="00DA14BE"/>
    <w:rsid w:val="00DA154E"/>
    <w:rsid w:val="00DA1818"/>
    <w:rsid w:val="00DA19ED"/>
    <w:rsid w:val="00DA1D7F"/>
    <w:rsid w:val="00DA1F6F"/>
    <w:rsid w:val="00DA2010"/>
    <w:rsid w:val="00DA249A"/>
    <w:rsid w:val="00DA26A7"/>
    <w:rsid w:val="00DA2A6A"/>
    <w:rsid w:val="00DA2AB6"/>
    <w:rsid w:val="00DA2AF5"/>
    <w:rsid w:val="00DA2E73"/>
    <w:rsid w:val="00DA3059"/>
    <w:rsid w:val="00DA32E5"/>
    <w:rsid w:val="00DA331E"/>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CD6"/>
    <w:rsid w:val="00DC1DF7"/>
    <w:rsid w:val="00DC1FB2"/>
    <w:rsid w:val="00DC233A"/>
    <w:rsid w:val="00DC2636"/>
    <w:rsid w:val="00DC2919"/>
    <w:rsid w:val="00DC296D"/>
    <w:rsid w:val="00DC299B"/>
    <w:rsid w:val="00DC2C38"/>
    <w:rsid w:val="00DC3787"/>
    <w:rsid w:val="00DC3934"/>
    <w:rsid w:val="00DC3FA4"/>
    <w:rsid w:val="00DC4273"/>
    <w:rsid w:val="00DC4594"/>
    <w:rsid w:val="00DC46D3"/>
    <w:rsid w:val="00DC5439"/>
    <w:rsid w:val="00DC5794"/>
    <w:rsid w:val="00DC58D7"/>
    <w:rsid w:val="00DC592B"/>
    <w:rsid w:val="00DC5AB5"/>
    <w:rsid w:val="00DC5CA5"/>
    <w:rsid w:val="00DC5D4F"/>
    <w:rsid w:val="00DC5FF2"/>
    <w:rsid w:val="00DC6004"/>
    <w:rsid w:val="00DC625D"/>
    <w:rsid w:val="00DC62C4"/>
    <w:rsid w:val="00DC6457"/>
    <w:rsid w:val="00DC686E"/>
    <w:rsid w:val="00DC6C98"/>
    <w:rsid w:val="00DC6D86"/>
    <w:rsid w:val="00DC73F7"/>
    <w:rsid w:val="00DC7493"/>
    <w:rsid w:val="00DC77E2"/>
    <w:rsid w:val="00DC7836"/>
    <w:rsid w:val="00DC7D07"/>
    <w:rsid w:val="00DC7F11"/>
    <w:rsid w:val="00DD00F5"/>
    <w:rsid w:val="00DD0134"/>
    <w:rsid w:val="00DD0276"/>
    <w:rsid w:val="00DD0442"/>
    <w:rsid w:val="00DD075A"/>
    <w:rsid w:val="00DD0823"/>
    <w:rsid w:val="00DD0E7E"/>
    <w:rsid w:val="00DD1008"/>
    <w:rsid w:val="00DD14C4"/>
    <w:rsid w:val="00DD14C6"/>
    <w:rsid w:val="00DD14D2"/>
    <w:rsid w:val="00DD1602"/>
    <w:rsid w:val="00DD164C"/>
    <w:rsid w:val="00DD16BF"/>
    <w:rsid w:val="00DD1DB2"/>
    <w:rsid w:val="00DD2264"/>
    <w:rsid w:val="00DD2394"/>
    <w:rsid w:val="00DD24B8"/>
    <w:rsid w:val="00DD258D"/>
    <w:rsid w:val="00DD263D"/>
    <w:rsid w:val="00DD27B0"/>
    <w:rsid w:val="00DD2B68"/>
    <w:rsid w:val="00DD2D3B"/>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27"/>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596"/>
    <w:rsid w:val="00DF1866"/>
    <w:rsid w:val="00DF1E16"/>
    <w:rsid w:val="00DF1EE5"/>
    <w:rsid w:val="00DF205F"/>
    <w:rsid w:val="00DF2412"/>
    <w:rsid w:val="00DF2432"/>
    <w:rsid w:val="00DF2509"/>
    <w:rsid w:val="00DF26F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4FF3"/>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13B"/>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D93"/>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7E9"/>
    <w:rsid w:val="00E30F98"/>
    <w:rsid w:val="00E30FF3"/>
    <w:rsid w:val="00E310DD"/>
    <w:rsid w:val="00E31238"/>
    <w:rsid w:val="00E31406"/>
    <w:rsid w:val="00E314C4"/>
    <w:rsid w:val="00E315E4"/>
    <w:rsid w:val="00E316B8"/>
    <w:rsid w:val="00E31972"/>
    <w:rsid w:val="00E31A02"/>
    <w:rsid w:val="00E31A50"/>
    <w:rsid w:val="00E31DDE"/>
    <w:rsid w:val="00E320C5"/>
    <w:rsid w:val="00E32285"/>
    <w:rsid w:val="00E326F4"/>
    <w:rsid w:val="00E32745"/>
    <w:rsid w:val="00E32E9F"/>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43D"/>
    <w:rsid w:val="00E5454F"/>
    <w:rsid w:val="00E54E54"/>
    <w:rsid w:val="00E55097"/>
    <w:rsid w:val="00E55148"/>
    <w:rsid w:val="00E55541"/>
    <w:rsid w:val="00E5565B"/>
    <w:rsid w:val="00E55F73"/>
    <w:rsid w:val="00E560B5"/>
    <w:rsid w:val="00E568A6"/>
    <w:rsid w:val="00E56E3D"/>
    <w:rsid w:val="00E56EE8"/>
    <w:rsid w:val="00E5741E"/>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75B"/>
    <w:rsid w:val="00E639F9"/>
    <w:rsid w:val="00E63A46"/>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A79"/>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246"/>
    <w:rsid w:val="00E86350"/>
    <w:rsid w:val="00E863DE"/>
    <w:rsid w:val="00E86463"/>
    <w:rsid w:val="00E8659E"/>
    <w:rsid w:val="00E866AB"/>
    <w:rsid w:val="00E86752"/>
    <w:rsid w:val="00E86959"/>
    <w:rsid w:val="00E86E36"/>
    <w:rsid w:val="00E87577"/>
    <w:rsid w:val="00E87891"/>
    <w:rsid w:val="00E87EEF"/>
    <w:rsid w:val="00E91078"/>
    <w:rsid w:val="00E914F4"/>
    <w:rsid w:val="00E91B3A"/>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488"/>
    <w:rsid w:val="00E95827"/>
    <w:rsid w:val="00E958DB"/>
    <w:rsid w:val="00E95EB4"/>
    <w:rsid w:val="00E95EF9"/>
    <w:rsid w:val="00E9616D"/>
    <w:rsid w:val="00E96518"/>
    <w:rsid w:val="00E96809"/>
    <w:rsid w:val="00E9681F"/>
    <w:rsid w:val="00E968F7"/>
    <w:rsid w:val="00E97477"/>
    <w:rsid w:val="00E97EC1"/>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D8"/>
    <w:rsid w:val="00EA27E8"/>
    <w:rsid w:val="00EA2ABA"/>
    <w:rsid w:val="00EA2E4D"/>
    <w:rsid w:val="00EA309B"/>
    <w:rsid w:val="00EA3266"/>
    <w:rsid w:val="00EA3359"/>
    <w:rsid w:val="00EA359E"/>
    <w:rsid w:val="00EA3660"/>
    <w:rsid w:val="00EA37F2"/>
    <w:rsid w:val="00EA38CB"/>
    <w:rsid w:val="00EA3AEF"/>
    <w:rsid w:val="00EA3E56"/>
    <w:rsid w:val="00EA412A"/>
    <w:rsid w:val="00EA4178"/>
    <w:rsid w:val="00EA41DB"/>
    <w:rsid w:val="00EA4382"/>
    <w:rsid w:val="00EA48EB"/>
    <w:rsid w:val="00EA4970"/>
    <w:rsid w:val="00EA4C56"/>
    <w:rsid w:val="00EA4EE2"/>
    <w:rsid w:val="00EA512E"/>
    <w:rsid w:val="00EA5522"/>
    <w:rsid w:val="00EA55FA"/>
    <w:rsid w:val="00EA58A5"/>
    <w:rsid w:val="00EA5919"/>
    <w:rsid w:val="00EA5D57"/>
    <w:rsid w:val="00EA5D61"/>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328"/>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6F80"/>
    <w:rsid w:val="00EC70DE"/>
    <w:rsid w:val="00EC7349"/>
    <w:rsid w:val="00EC7525"/>
    <w:rsid w:val="00EC7ECC"/>
    <w:rsid w:val="00ED022E"/>
    <w:rsid w:val="00ED0384"/>
    <w:rsid w:val="00ED06E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5A"/>
    <w:rsid w:val="00ED5627"/>
    <w:rsid w:val="00ED5DB6"/>
    <w:rsid w:val="00ED5DBB"/>
    <w:rsid w:val="00ED5E77"/>
    <w:rsid w:val="00ED5F90"/>
    <w:rsid w:val="00ED61EE"/>
    <w:rsid w:val="00ED6537"/>
    <w:rsid w:val="00ED6872"/>
    <w:rsid w:val="00ED69F3"/>
    <w:rsid w:val="00ED6D22"/>
    <w:rsid w:val="00ED6E50"/>
    <w:rsid w:val="00ED6F28"/>
    <w:rsid w:val="00ED7160"/>
    <w:rsid w:val="00ED78E0"/>
    <w:rsid w:val="00ED7CCB"/>
    <w:rsid w:val="00EE01A3"/>
    <w:rsid w:val="00EE0226"/>
    <w:rsid w:val="00EE08C2"/>
    <w:rsid w:val="00EE0CC8"/>
    <w:rsid w:val="00EE0D7B"/>
    <w:rsid w:val="00EE0F04"/>
    <w:rsid w:val="00EE12CF"/>
    <w:rsid w:val="00EE136D"/>
    <w:rsid w:val="00EE14E8"/>
    <w:rsid w:val="00EE151A"/>
    <w:rsid w:val="00EE15BE"/>
    <w:rsid w:val="00EE1820"/>
    <w:rsid w:val="00EE187A"/>
    <w:rsid w:val="00EE1B46"/>
    <w:rsid w:val="00EE1D8A"/>
    <w:rsid w:val="00EE2201"/>
    <w:rsid w:val="00EE291D"/>
    <w:rsid w:val="00EE31B3"/>
    <w:rsid w:val="00EE3711"/>
    <w:rsid w:val="00EE380B"/>
    <w:rsid w:val="00EE3BC2"/>
    <w:rsid w:val="00EE4608"/>
    <w:rsid w:val="00EE4713"/>
    <w:rsid w:val="00EE4D6E"/>
    <w:rsid w:val="00EE5024"/>
    <w:rsid w:val="00EE5326"/>
    <w:rsid w:val="00EE55D8"/>
    <w:rsid w:val="00EE5C91"/>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BB"/>
    <w:rsid w:val="00EF54E7"/>
    <w:rsid w:val="00EF5AB8"/>
    <w:rsid w:val="00EF5BE7"/>
    <w:rsid w:val="00EF5C30"/>
    <w:rsid w:val="00EF5D7F"/>
    <w:rsid w:val="00EF607C"/>
    <w:rsid w:val="00EF6090"/>
    <w:rsid w:val="00EF6315"/>
    <w:rsid w:val="00EF66D0"/>
    <w:rsid w:val="00EF68E2"/>
    <w:rsid w:val="00EF6E80"/>
    <w:rsid w:val="00EF7400"/>
    <w:rsid w:val="00EF7552"/>
    <w:rsid w:val="00EF7956"/>
    <w:rsid w:val="00EF7F60"/>
    <w:rsid w:val="00F00116"/>
    <w:rsid w:val="00F0034A"/>
    <w:rsid w:val="00F00669"/>
    <w:rsid w:val="00F00670"/>
    <w:rsid w:val="00F0069D"/>
    <w:rsid w:val="00F00A2A"/>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AF5"/>
    <w:rsid w:val="00F22C95"/>
    <w:rsid w:val="00F22D01"/>
    <w:rsid w:val="00F22D23"/>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7CC"/>
    <w:rsid w:val="00F31913"/>
    <w:rsid w:val="00F32321"/>
    <w:rsid w:val="00F329F6"/>
    <w:rsid w:val="00F32CB3"/>
    <w:rsid w:val="00F32E03"/>
    <w:rsid w:val="00F3319A"/>
    <w:rsid w:val="00F331DD"/>
    <w:rsid w:val="00F3357C"/>
    <w:rsid w:val="00F33771"/>
    <w:rsid w:val="00F33C7A"/>
    <w:rsid w:val="00F3404B"/>
    <w:rsid w:val="00F34054"/>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37D1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23A"/>
    <w:rsid w:val="00F4379E"/>
    <w:rsid w:val="00F4479D"/>
    <w:rsid w:val="00F44F40"/>
    <w:rsid w:val="00F4501F"/>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B2F"/>
    <w:rsid w:val="00F56FFA"/>
    <w:rsid w:val="00F573BC"/>
    <w:rsid w:val="00F57572"/>
    <w:rsid w:val="00F57650"/>
    <w:rsid w:val="00F5797A"/>
    <w:rsid w:val="00F57D9D"/>
    <w:rsid w:val="00F600C3"/>
    <w:rsid w:val="00F60283"/>
    <w:rsid w:val="00F60327"/>
    <w:rsid w:val="00F6068C"/>
    <w:rsid w:val="00F60A83"/>
    <w:rsid w:val="00F60B66"/>
    <w:rsid w:val="00F60BF5"/>
    <w:rsid w:val="00F61166"/>
    <w:rsid w:val="00F613A4"/>
    <w:rsid w:val="00F61586"/>
    <w:rsid w:val="00F616C5"/>
    <w:rsid w:val="00F617A1"/>
    <w:rsid w:val="00F62355"/>
    <w:rsid w:val="00F6245C"/>
    <w:rsid w:val="00F62B05"/>
    <w:rsid w:val="00F62BB6"/>
    <w:rsid w:val="00F62C6C"/>
    <w:rsid w:val="00F62E11"/>
    <w:rsid w:val="00F63205"/>
    <w:rsid w:val="00F632A0"/>
    <w:rsid w:val="00F63802"/>
    <w:rsid w:val="00F63DC2"/>
    <w:rsid w:val="00F64502"/>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59"/>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10B"/>
    <w:rsid w:val="00F74753"/>
    <w:rsid w:val="00F74768"/>
    <w:rsid w:val="00F74A0D"/>
    <w:rsid w:val="00F74A8B"/>
    <w:rsid w:val="00F754E7"/>
    <w:rsid w:val="00F75803"/>
    <w:rsid w:val="00F758B4"/>
    <w:rsid w:val="00F75EA2"/>
    <w:rsid w:val="00F76196"/>
    <w:rsid w:val="00F76438"/>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4D4"/>
    <w:rsid w:val="00F82545"/>
    <w:rsid w:val="00F82A32"/>
    <w:rsid w:val="00F82E98"/>
    <w:rsid w:val="00F82FE4"/>
    <w:rsid w:val="00F830F4"/>
    <w:rsid w:val="00F83281"/>
    <w:rsid w:val="00F83523"/>
    <w:rsid w:val="00F837E8"/>
    <w:rsid w:val="00F83BB6"/>
    <w:rsid w:val="00F84020"/>
    <w:rsid w:val="00F84230"/>
    <w:rsid w:val="00F84327"/>
    <w:rsid w:val="00F843CC"/>
    <w:rsid w:val="00F8488F"/>
    <w:rsid w:val="00F84984"/>
    <w:rsid w:val="00F849A5"/>
    <w:rsid w:val="00F84D5A"/>
    <w:rsid w:val="00F84EA9"/>
    <w:rsid w:val="00F8532B"/>
    <w:rsid w:val="00F85465"/>
    <w:rsid w:val="00F856D9"/>
    <w:rsid w:val="00F8575A"/>
    <w:rsid w:val="00F85F06"/>
    <w:rsid w:val="00F86D9F"/>
    <w:rsid w:val="00F87307"/>
    <w:rsid w:val="00F874CB"/>
    <w:rsid w:val="00F876CA"/>
    <w:rsid w:val="00F87CD9"/>
    <w:rsid w:val="00F87D47"/>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4D11"/>
    <w:rsid w:val="00F94D4F"/>
    <w:rsid w:val="00F95082"/>
    <w:rsid w:val="00F95363"/>
    <w:rsid w:val="00F9543D"/>
    <w:rsid w:val="00F95C15"/>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DE1"/>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0EF3"/>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A57"/>
    <w:rsid w:val="00FD1E48"/>
    <w:rsid w:val="00FD274A"/>
    <w:rsid w:val="00FD324D"/>
    <w:rsid w:val="00FD360C"/>
    <w:rsid w:val="00FD38C6"/>
    <w:rsid w:val="00FD3B55"/>
    <w:rsid w:val="00FD437B"/>
    <w:rsid w:val="00FD43A0"/>
    <w:rsid w:val="00FD467D"/>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2D"/>
    <w:rsid w:val="00FE3674"/>
    <w:rsid w:val="00FE38F0"/>
    <w:rsid w:val="00FE40BD"/>
    <w:rsid w:val="00FE435D"/>
    <w:rsid w:val="00FE44B7"/>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42"/>
    <w:rsid w:val="00FF0C7F"/>
    <w:rsid w:val="00FF0D86"/>
    <w:rsid w:val="00FF137E"/>
    <w:rsid w:val="00FF13A8"/>
    <w:rsid w:val="00FF15B4"/>
    <w:rsid w:val="00FF16E5"/>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4EB"/>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15ED8"/>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16B99"/>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2766E4"/>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6545"/>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1D83F6A"/>
    <w:rsid w:val="12023B4E"/>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734BF"/>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5B22F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3F39A2"/>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0A07C4"/>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60815"/>
    <w:rsid w:val="189C7EF6"/>
    <w:rsid w:val="18B04B4D"/>
    <w:rsid w:val="18B07A8C"/>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3164E"/>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AE52F1"/>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1838B4"/>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636428"/>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23C42"/>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97FE1"/>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C80A2D"/>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82476"/>
    <w:rsid w:val="29D9317B"/>
    <w:rsid w:val="29E77938"/>
    <w:rsid w:val="29EB26AF"/>
    <w:rsid w:val="29EC161D"/>
    <w:rsid w:val="29F04EAF"/>
    <w:rsid w:val="29F116D0"/>
    <w:rsid w:val="2A0241CA"/>
    <w:rsid w:val="2A0777DB"/>
    <w:rsid w:val="2A1074D9"/>
    <w:rsid w:val="2A136762"/>
    <w:rsid w:val="2A1E7E82"/>
    <w:rsid w:val="2A332420"/>
    <w:rsid w:val="2A460E85"/>
    <w:rsid w:val="2A47107F"/>
    <w:rsid w:val="2A4B6FAD"/>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6D1F29"/>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031CB"/>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86FCA"/>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22CEE"/>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AF4427"/>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CE2F7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9029A"/>
    <w:rsid w:val="36ED465C"/>
    <w:rsid w:val="36F13515"/>
    <w:rsid w:val="36FF2820"/>
    <w:rsid w:val="370058B6"/>
    <w:rsid w:val="37035218"/>
    <w:rsid w:val="37066B46"/>
    <w:rsid w:val="37131885"/>
    <w:rsid w:val="372B0E5D"/>
    <w:rsid w:val="372E53E1"/>
    <w:rsid w:val="373F028D"/>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106C89"/>
    <w:rsid w:val="3F1654B8"/>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44C6D"/>
    <w:rsid w:val="409B357D"/>
    <w:rsid w:val="409F5F96"/>
    <w:rsid w:val="40B43BF9"/>
    <w:rsid w:val="40BC2DF7"/>
    <w:rsid w:val="40CE14CF"/>
    <w:rsid w:val="40CF6877"/>
    <w:rsid w:val="40D0680E"/>
    <w:rsid w:val="40D5202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BC6AAE"/>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9E3F12"/>
    <w:rsid w:val="42A82BA9"/>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6A5877"/>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95716"/>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2B664E"/>
    <w:rsid w:val="45341196"/>
    <w:rsid w:val="45493A4F"/>
    <w:rsid w:val="454E4188"/>
    <w:rsid w:val="45553167"/>
    <w:rsid w:val="455B5DC3"/>
    <w:rsid w:val="45727755"/>
    <w:rsid w:val="45965757"/>
    <w:rsid w:val="459E25BC"/>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DC6F57"/>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3E2D1B"/>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6762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7730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606C5"/>
    <w:rsid w:val="570D256E"/>
    <w:rsid w:val="57301450"/>
    <w:rsid w:val="57316C99"/>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4534F8"/>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CD6AE6"/>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2D0F"/>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0A35C2"/>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46A9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D67B9D"/>
    <w:rsid w:val="64F149F1"/>
    <w:rsid w:val="65137300"/>
    <w:rsid w:val="651E7DAB"/>
    <w:rsid w:val="6526740F"/>
    <w:rsid w:val="652B0979"/>
    <w:rsid w:val="653277FB"/>
    <w:rsid w:val="6556674F"/>
    <w:rsid w:val="655F2B6C"/>
    <w:rsid w:val="65862CD9"/>
    <w:rsid w:val="6588686F"/>
    <w:rsid w:val="65995916"/>
    <w:rsid w:val="659E46D8"/>
    <w:rsid w:val="659E577E"/>
    <w:rsid w:val="65A57048"/>
    <w:rsid w:val="65B50E5A"/>
    <w:rsid w:val="65D1502E"/>
    <w:rsid w:val="65D40A3C"/>
    <w:rsid w:val="65D54781"/>
    <w:rsid w:val="65D7500D"/>
    <w:rsid w:val="65E00E45"/>
    <w:rsid w:val="65F251CE"/>
    <w:rsid w:val="65FE7202"/>
    <w:rsid w:val="660867AF"/>
    <w:rsid w:val="661147C7"/>
    <w:rsid w:val="662D27C6"/>
    <w:rsid w:val="66452970"/>
    <w:rsid w:val="66452FE9"/>
    <w:rsid w:val="664B315B"/>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228AF"/>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E9520E"/>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BB4458"/>
    <w:rsid w:val="6CCA446B"/>
    <w:rsid w:val="6CCE3605"/>
    <w:rsid w:val="6CD05C02"/>
    <w:rsid w:val="6CD85C69"/>
    <w:rsid w:val="6CF22917"/>
    <w:rsid w:val="6CFC34A1"/>
    <w:rsid w:val="6D1601C9"/>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75721"/>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BD6E9E"/>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4438E"/>
    <w:rsid w:val="708A6CC0"/>
    <w:rsid w:val="708D048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4E45C6"/>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2FF321E"/>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A1192"/>
    <w:rsid w:val="741D2D43"/>
    <w:rsid w:val="74326D21"/>
    <w:rsid w:val="743F458D"/>
    <w:rsid w:val="745A7788"/>
    <w:rsid w:val="745B0796"/>
    <w:rsid w:val="745F4062"/>
    <w:rsid w:val="74A47F6D"/>
    <w:rsid w:val="74A818BF"/>
    <w:rsid w:val="74AA62A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1EF"/>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47376"/>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8A611D"/>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D11A5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601C4"/>
    <w:rsid w:val="7D694213"/>
    <w:rsid w:val="7D6D7E22"/>
    <w:rsid w:val="7D6E16F4"/>
    <w:rsid w:val="7D6E6D2F"/>
    <w:rsid w:val="7D7609EC"/>
    <w:rsid w:val="7D764D9D"/>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3B55B3"/>
    <w:rsid w:val="7F4B1713"/>
    <w:rsid w:val="7F500CBA"/>
    <w:rsid w:val="7F587DE1"/>
    <w:rsid w:val="7F59726B"/>
    <w:rsid w:val="7F61016D"/>
    <w:rsid w:val="7F635A42"/>
    <w:rsid w:val="7F6D28E2"/>
    <w:rsid w:val="7F820D78"/>
    <w:rsid w:val="7F8211F5"/>
    <w:rsid w:val="7F935AA2"/>
    <w:rsid w:val="7F9A1ABF"/>
    <w:rsid w:val="7FA379C4"/>
    <w:rsid w:val="7FA4156B"/>
    <w:rsid w:val="7FA51E6D"/>
    <w:rsid w:val="7FA95C9E"/>
    <w:rsid w:val="7FC76DE8"/>
    <w:rsid w:val="7FD10373"/>
    <w:rsid w:val="7FF57E09"/>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7"/>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6"/>
    <w:qFormat/>
    <w:uiPriority w:val="0"/>
    <w:pPr>
      <w:keepNext/>
      <w:keepLines/>
      <w:numPr>
        <w:ilvl w:val="1"/>
      </w:numPr>
      <w:spacing w:before="260" w:after="260" w:line="413" w:lineRule="auto"/>
      <w:outlineLvl w:val="1"/>
    </w:pPr>
    <w:rPr>
      <w:sz w:val="32"/>
    </w:rPr>
  </w:style>
  <w:style w:type="paragraph" w:styleId="4">
    <w:name w:val="heading 3"/>
    <w:basedOn w:val="3"/>
    <w:next w:val="1"/>
    <w:link w:val="1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8"/>
    <w:qFormat/>
    <w:uiPriority w:val="0"/>
    <w:pPr>
      <w:tabs>
        <w:tab w:val="left" w:pos="1418"/>
      </w:tabs>
      <w:spacing w:before="120" w:after="120" w:line="240" w:lineRule="auto"/>
    </w:pPr>
    <w:rPr>
      <w:b/>
      <w:bCs/>
      <w:szCs w:val="20"/>
      <w:lang w:val="en-GB" w:eastAsia="sv-SE"/>
    </w:rPr>
  </w:style>
  <w:style w:type="paragraph" w:styleId="13">
    <w:name w:val="Document Map"/>
    <w:basedOn w:val="1"/>
    <w:link w:val="60"/>
    <w:unhideWhenUsed/>
    <w:qFormat/>
    <w:uiPriority w:val="99"/>
    <w:rPr>
      <w:rFonts w:ascii="宋体"/>
      <w:sz w:val="18"/>
      <w:szCs w:val="18"/>
    </w:rPr>
  </w:style>
  <w:style w:type="paragraph" w:styleId="14">
    <w:name w:val="annotation text"/>
    <w:basedOn w:val="1"/>
    <w:link w:val="53"/>
    <w:unhideWhenUsed/>
    <w:qFormat/>
    <w:uiPriority w:val="0"/>
    <w:rPr>
      <w:szCs w:val="20"/>
    </w:rPr>
  </w:style>
  <w:style w:type="paragraph" w:styleId="15">
    <w:name w:val="Body Text"/>
    <w:basedOn w:val="1"/>
    <w:link w:val="54"/>
    <w:qFormat/>
    <w:uiPriority w:val="0"/>
    <w:pPr>
      <w:widowControl w:val="0"/>
      <w:spacing w:after="0" w:line="240" w:lineRule="auto"/>
      <w:jc w:val="both"/>
    </w:pPr>
    <w:rPr>
      <w:color w:val="0000FF"/>
      <w:kern w:val="2"/>
      <w:sz w:val="21"/>
      <w:szCs w:val="20"/>
    </w:rPr>
  </w:style>
  <w:style w:type="paragraph" w:styleId="16">
    <w:name w:val="Date"/>
    <w:basedOn w:val="1"/>
    <w:next w:val="1"/>
    <w:qFormat/>
    <w:uiPriority w:val="99"/>
    <w:pPr>
      <w:spacing w:after="0"/>
    </w:pPr>
    <w:rPr>
      <w:rFonts w:ascii="Times" w:hAnsi="Times" w:eastAsia="Batang"/>
      <w:szCs w:val="24"/>
      <w:lang w:val="en-GB"/>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9"/>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39"/>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1"/>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40"/>
    <w:unhideWhenUsed/>
    <w:qFormat/>
    <w:uiPriority w:val="99"/>
    <w:rPr>
      <w:b/>
      <w:bCs/>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paragraph" w:customStyle="1" w:styleId="36">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7">
    <w:name w:val="标题 1 字符"/>
    <w:link w:val="2"/>
    <w:qFormat/>
    <w:uiPriority w:val="99"/>
    <w:rPr>
      <w:rFonts w:ascii="Arial" w:hAnsi="Arial" w:eastAsia="黑体"/>
      <w:b/>
      <w:bCs/>
      <w:sz w:val="30"/>
      <w:szCs w:val="30"/>
      <w:lang w:val="zh-CN"/>
    </w:rPr>
  </w:style>
  <w:style w:type="character" w:customStyle="1" w:styleId="38">
    <w:name w:val="标题 3 字符"/>
    <w:qFormat/>
    <w:uiPriority w:val="9"/>
    <w:rPr>
      <w:b/>
      <w:bCs/>
      <w:sz w:val="32"/>
      <w:szCs w:val="32"/>
    </w:rPr>
  </w:style>
  <w:style w:type="character" w:customStyle="1" w:styleId="39">
    <w:name w:val="页眉 字符"/>
    <w:link w:val="19"/>
    <w:qFormat/>
    <w:uiPriority w:val="0"/>
    <w:rPr>
      <w:rFonts w:ascii="Arial" w:hAnsi="Arial" w:eastAsia="MS Mincho"/>
      <w:b/>
      <w:szCs w:val="24"/>
      <w:lang w:eastAsia="en-US"/>
    </w:rPr>
  </w:style>
  <w:style w:type="character" w:customStyle="1" w:styleId="40">
    <w:name w:val="批注主题 字符"/>
    <w:link w:val="23"/>
    <w:semiHidden/>
    <w:qFormat/>
    <w:uiPriority w:val="99"/>
    <w:rPr>
      <w:b/>
      <w:bCs/>
    </w:rPr>
  </w:style>
  <w:style w:type="character" w:customStyle="1" w:styleId="41">
    <w:name w:val="脚注文本 字符"/>
    <w:link w:val="21"/>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7"/>
    <w:qFormat/>
    <w:uiPriority w:val="0"/>
  </w:style>
  <w:style w:type="character" w:customStyle="1" w:styleId="48">
    <w:name w:val="题注 字符"/>
    <w:link w:val="12"/>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20"/>
    <w:link w:val="49"/>
    <w:qFormat/>
    <w:uiPriority w:val="0"/>
    <w:pPr>
      <w:spacing w:after="180" w:line="240" w:lineRule="auto"/>
      <w:ind w:left="568" w:hanging="284" w:firstLineChars="0"/>
    </w:pPr>
    <w:rPr>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Cs w:val="20"/>
      <w:lang w:val="en-GB" w:eastAsia="ko-KR"/>
    </w:rPr>
  </w:style>
  <w:style w:type="character" w:customStyle="1" w:styleId="53">
    <w:name w:val="批注文字 字符"/>
    <w:basedOn w:val="27"/>
    <w:link w:val="14"/>
    <w:qFormat/>
    <w:uiPriority w:val="0"/>
  </w:style>
  <w:style w:type="character" w:customStyle="1" w:styleId="54">
    <w:name w:val="正文文本 字符"/>
    <w:link w:val="15"/>
    <w:qFormat/>
    <w:uiPriority w:val="0"/>
    <w:rPr>
      <w:rFonts w:ascii="Times New Roman" w:hAnsi="Times New Roman"/>
      <w:color w:val="0000FF"/>
      <w:kern w:val="2"/>
      <w:sz w:val="21"/>
    </w:rPr>
  </w:style>
  <w:style w:type="character" w:customStyle="1" w:styleId="55">
    <w:name w:val="def"/>
    <w:basedOn w:val="27"/>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Cs w:val="20"/>
      <w:lang w:val="en-GB" w:eastAsia="ko-KR"/>
    </w:rPr>
  </w:style>
  <w:style w:type="character" w:customStyle="1" w:styleId="59">
    <w:name w:val="word"/>
    <w:basedOn w:val="27"/>
    <w:qFormat/>
    <w:uiPriority w:val="0"/>
  </w:style>
  <w:style w:type="character" w:customStyle="1" w:styleId="60">
    <w:name w:val="文档结构图 字符"/>
    <w:link w:val="13"/>
    <w:semiHidden/>
    <w:qFormat/>
    <w:uiPriority w:val="99"/>
    <w:rPr>
      <w:rFonts w:ascii="宋体"/>
      <w:sz w:val="18"/>
      <w:szCs w:val="18"/>
    </w:rPr>
  </w:style>
  <w:style w:type="character" w:customStyle="1" w:styleId="61">
    <w:name w:val="high-light"/>
    <w:basedOn w:val="27"/>
    <w:qFormat/>
    <w:uiPriority w:val="0"/>
  </w:style>
  <w:style w:type="character" w:customStyle="1" w:styleId="62">
    <w:name w:val="pos"/>
    <w:basedOn w:val="27"/>
    <w:qFormat/>
    <w:uiPriority w:val="0"/>
  </w:style>
  <w:style w:type="character" w:customStyle="1" w:styleId="63">
    <w:name w:val="apple-style-span"/>
    <w:basedOn w:val="27"/>
    <w:qFormat/>
    <w:uiPriority w:val="0"/>
  </w:style>
  <w:style w:type="character" w:customStyle="1" w:styleId="64">
    <w:name w:val="ZGSM"/>
    <w:qFormat/>
    <w:uiPriority w:val="0"/>
  </w:style>
  <w:style w:type="paragraph" w:customStyle="1" w:styleId="65">
    <w:name w:val="TAH"/>
    <w:basedOn w:val="45"/>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3"/>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4"/>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5"/>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5"/>
    <w:link w:val="93"/>
    <w:qFormat/>
    <w:uiPriority w:val="0"/>
    <w:rPr>
      <w:rFonts w:eastAsia="MS Mincho"/>
    </w:rPr>
  </w:style>
  <w:style w:type="paragraph" w:customStyle="1" w:styleId="84">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rFonts w:eastAsia="t"/>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7"/>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7"/>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7"/>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2"/>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03_Proposal"/>
    <w:basedOn w:val="110"/>
    <w:qFormat/>
    <w:uiPriority w:val="0"/>
    <w:rPr>
      <w:b/>
      <w:i w:val="0"/>
      <w:iCs w:val="0"/>
    </w:rPr>
  </w:style>
  <w:style w:type="paragraph" w:customStyle="1" w:styleId="110">
    <w:name w:val="04_Proposal1"/>
    <w:basedOn w:val="1"/>
    <w:qFormat/>
    <w:uiPriority w:val="0"/>
    <w:rPr>
      <w:bCs/>
      <w:i/>
      <w:iCs/>
    </w:rPr>
  </w:style>
  <w:style w:type="paragraph" w:customStyle="1" w:styleId="111">
    <w:name w:val="列出段落2"/>
    <w:basedOn w:val="1"/>
    <w:link w:val="112"/>
    <w:qFormat/>
    <w:uiPriority w:val="34"/>
    <w:pPr>
      <w:ind w:firstLine="420" w:firstLineChars="200"/>
    </w:pPr>
  </w:style>
  <w:style w:type="character" w:customStyle="1" w:styleId="112">
    <w:name w:val="List Paragraph Char"/>
    <w:basedOn w:val="27"/>
    <w:link w:val="111"/>
    <w:qFormat/>
    <w:locked/>
    <w:uiPriority w:val="34"/>
    <w:rPr>
      <w:rFonts w:eastAsia="t"/>
      <w:szCs w:val="22"/>
    </w:rPr>
  </w:style>
  <w:style w:type="paragraph" w:styleId="113">
    <w:name w:val="List Paragraph"/>
    <w:basedOn w:val="1"/>
    <w:link w:val="140"/>
    <w:qFormat/>
    <w:uiPriority w:val="34"/>
    <w:pPr>
      <w:ind w:firstLine="420" w:firstLineChars="200"/>
    </w:pPr>
  </w:style>
  <w:style w:type="paragraph" w:customStyle="1" w:styleId="114">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5">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6">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7">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8">
    <w:name w:val="msoins"/>
    <w:qFormat/>
    <w:uiPriority w:val="0"/>
  </w:style>
  <w:style w:type="paragraph" w:customStyle="1" w:styleId="119">
    <w:name w:val="Agreement"/>
    <w:basedOn w:val="1"/>
    <w:next w:val="120"/>
    <w:qFormat/>
    <w:uiPriority w:val="99"/>
    <w:pPr>
      <w:numPr>
        <w:ilvl w:val="0"/>
        <w:numId w:val="6"/>
      </w:numPr>
      <w:spacing w:before="60" w:after="0"/>
    </w:pPr>
    <w:rPr>
      <w:rFonts w:ascii="Arial" w:hAnsi="Arial"/>
      <w:b/>
      <w:szCs w:val="24"/>
      <w:lang w:eastAsia="en-GB"/>
    </w:rPr>
  </w:style>
  <w:style w:type="paragraph" w:customStyle="1" w:styleId="120">
    <w:name w:val="Doc-text2"/>
    <w:basedOn w:val="1"/>
    <w:qFormat/>
    <w:uiPriority w:val="0"/>
    <w:pPr>
      <w:tabs>
        <w:tab w:val="left" w:pos="1622"/>
      </w:tabs>
      <w:spacing w:after="0"/>
      <w:ind w:left="1622" w:hanging="363"/>
    </w:pPr>
    <w:rPr>
      <w:rFonts w:ascii="Arial" w:hAnsi="Arial"/>
      <w:szCs w:val="24"/>
      <w:lang w:eastAsia="en-GB"/>
    </w:rPr>
  </w:style>
  <w:style w:type="paragraph" w:customStyle="1" w:styleId="121">
    <w:name w:val="B2"/>
    <w:basedOn w:val="1"/>
    <w:link w:val="122"/>
    <w:qFormat/>
    <w:uiPriority w:val="0"/>
    <w:pPr>
      <w:spacing w:after="180" w:line="240" w:lineRule="auto"/>
      <w:ind w:left="851" w:hanging="284"/>
    </w:pPr>
    <w:rPr>
      <w:rFonts w:eastAsia="Times New Roman"/>
      <w:szCs w:val="20"/>
      <w:lang w:val="zh-CN" w:eastAsia="en-US"/>
    </w:rPr>
  </w:style>
  <w:style w:type="character" w:customStyle="1" w:styleId="122">
    <w:name w:val="B2 Char"/>
    <w:link w:val="121"/>
    <w:qFormat/>
    <w:uiPriority w:val="0"/>
    <w:rPr>
      <w:rFonts w:eastAsia="Times New Roman"/>
      <w:lang w:val="zh-CN" w:eastAsia="en-US"/>
    </w:rPr>
  </w:style>
  <w:style w:type="character" w:customStyle="1" w:styleId="123">
    <w:name w:val="x_xxapple-converted-space"/>
    <w:basedOn w:val="27"/>
    <w:qFormat/>
    <w:uiPriority w:val="0"/>
  </w:style>
  <w:style w:type="paragraph" w:customStyle="1" w:styleId="124">
    <w:name w:val="text intend 1"/>
    <w:basedOn w:val="90"/>
    <w:qFormat/>
    <w:uiPriority w:val="0"/>
    <w:pPr>
      <w:widowControl/>
      <w:numPr>
        <w:ilvl w:val="0"/>
        <w:numId w:val="7"/>
      </w:numPr>
      <w:spacing w:after="120"/>
    </w:pPr>
    <w:rPr>
      <w:rFonts w:eastAsia="MS Mincho"/>
      <w:lang w:val="en-US"/>
    </w:rPr>
  </w:style>
  <w:style w:type="paragraph" w:customStyle="1" w:styleId="125">
    <w:name w:val="x_xxmsonormal"/>
    <w:basedOn w:val="1"/>
    <w:qFormat/>
    <w:uiPriority w:val="99"/>
    <w:rPr>
      <w:rFonts w:eastAsia="Malgun Gothic"/>
      <w:sz w:val="24"/>
      <w:lang w:eastAsia="ko-KR"/>
    </w:rPr>
  </w:style>
  <w:style w:type="paragraph" w:customStyle="1" w:styleId="12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7">
    <w:name w:val="normaltextrun"/>
    <w:qFormat/>
    <w:uiPriority w:val="0"/>
  </w:style>
  <w:style w:type="paragraph" w:customStyle="1" w:styleId="128">
    <w:name w:val="列出段落3"/>
    <w:basedOn w:val="1"/>
    <w:link w:val="130"/>
    <w:qFormat/>
    <w:uiPriority w:val="0"/>
    <w:pPr>
      <w:spacing w:after="0"/>
      <w:ind w:left="840" w:leftChars="400" w:hanging="1440"/>
    </w:pPr>
    <w:rPr>
      <w:rFonts w:ascii="Times" w:hAnsi="Times" w:eastAsia="Batang"/>
      <w:szCs w:val="24"/>
    </w:rPr>
  </w:style>
  <w:style w:type="character" w:customStyle="1" w:styleId="129">
    <w:name w:val="题注 Char"/>
    <w:basedOn w:val="27"/>
    <w:qFormat/>
    <w:uiPriority w:val="0"/>
    <w:rPr>
      <w:b/>
    </w:rPr>
  </w:style>
  <w:style w:type="character" w:customStyle="1" w:styleId="130">
    <w:name w:val="列出段落 Char1"/>
    <w:basedOn w:val="27"/>
    <w:link w:val="128"/>
    <w:qFormat/>
    <w:uiPriority w:val="0"/>
    <w:rPr>
      <w:rFonts w:hint="default" w:ascii="Times" w:hAnsi="Times" w:eastAsia="Batang" w:cs="Times"/>
      <w:szCs w:val="24"/>
      <w:lang w:val="en-US"/>
    </w:rPr>
  </w:style>
  <w:style w:type="table" w:customStyle="1" w:styleId="131">
    <w:name w:val="网格型2"/>
    <w:basedOn w:val="24"/>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2">
    <w:name w:val="列出段落31"/>
    <w:basedOn w:val="1"/>
    <w:qFormat/>
    <w:uiPriority w:val="0"/>
    <w:pPr>
      <w:spacing w:after="0"/>
      <w:ind w:left="840" w:leftChars="400" w:hanging="1440"/>
    </w:pPr>
    <w:rPr>
      <w:rFonts w:ascii="Times" w:hAnsi="Times" w:eastAsia="Batang"/>
      <w:szCs w:val="24"/>
    </w:rPr>
  </w:style>
  <w:style w:type="paragraph" w:customStyle="1" w:styleId="133">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4">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5">
    <w:name w:val="标题 3 字符1"/>
    <w:basedOn w:val="27"/>
    <w:link w:val="4"/>
    <w:qFormat/>
    <w:uiPriority w:val="9"/>
    <w:rPr>
      <w:rFonts w:ascii="Arial" w:hAnsi="Arial" w:eastAsia="黑体"/>
      <w:b/>
      <w:bCs/>
      <w:sz w:val="32"/>
      <w:szCs w:val="32"/>
      <w:lang w:val="zh-CN"/>
    </w:rPr>
  </w:style>
  <w:style w:type="character" w:customStyle="1" w:styleId="136">
    <w:name w:val="标题 2 字符"/>
    <w:basedOn w:val="27"/>
    <w:link w:val="3"/>
    <w:qFormat/>
    <w:uiPriority w:val="0"/>
    <w:rPr>
      <w:rFonts w:ascii="Arial" w:hAnsi="Arial" w:eastAsia="黑体"/>
      <w:b/>
      <w:bCs/>
      <w:sz w:val="32"/>
      <w:szCs w:val="30"/>
      <w:lang w:val="zh-CN"/>
    </w:rPr>
  </w:style>
  <w:style w:type="paragraph" w:customStyle="1" w:styleId="137">
    <w:name w:val="修订2"/>
    <w:hidden/>
    <w:semiHidden/>
    <w:qFormat/>
    <w:uiPriority w:val="99"/>
    <w:rPr>
      <w:rFonts w:ascii="Times New Roman" w:hAnsi="Times New Roman" w:eastAsia="t" w:cs="Times New Roman"/>
      <w:szCs w:val="22"/>
      <w:lang w:val="en-US" w:eastAsia="zh-CN" w:bidi="ar-SA"/>
    </w:rPr>
  </w:style>
  <w:style w:type="character" w:customStyle="1" w:styleId="138">
    <w:name w:val="题注 字符3"/>
    <w:qFormat/>
    <w:locked/>
    <w:uiPriority w:val="0"/>
    <w:rPr>
      <w:rFonts w:asciiTheme="minorHAnsi" w:hAnsiTheme="minorHAnsi" w:eastAsiaTheme="minorEastAsia" w:cstheme="minorBidi"/>
      <w:b/>
      <w:bCs/>
      <w:kern w:val="2"/>
      <w:sz w:val="22"/>
      <w:szCs w:val="22"/>
      <w14:ligatures w14:val="standardContextual"/>
    </w:rPr>
  </w:style>
  <w:style w:type="character" w:styleId="139">
    <w:name w:val="Placeholder Text"/>
    <w:basedOn w:val="27"/>
    <w:semiHidden/>
    <w:qFormat/>
    <w:uiPriority w:val="99"/>
    <w:rPr>
      <w:color w:val="808080"/>
    </w:rPr>
  </w:style>
  <w:style w:type="character" w:customStyle="1" w:styleId="140">
    <w:name w:val="列表段落 字符"/>
    <w:link w:val="113"/>
    <w:qFormat/>
    <w:locked/>
    <w:uiPriority w:val="34"/>
    <w:rPr>
      <w:rFonts w:eastAsia="t"/>
      <w:szCs w:val="22"/>
    </w:rPr>
  </w:style>
  <w:style w:type="paragraph" w:customStyle="1" w:styleId="141">
    <w:name w:val="3GPP Text"/>
    <w:basedOn w:val="1"/>
    <w:link w:val="142"/>
    <w:qFormat/>
    <w:uiPriority w:val="0"/>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142">
    <w:name w:val="3GPP Text Char"/>
    <w:link w:val="141"/>
    <w:qFormat/>
    <w:uiPriority w:val="0"/>
    <w:rPr>
      <w:sz w:val="22"/>
      <w:lang w:eastAsia="en-US"/>
    </w:rPr>
  </w:style>
  <w:style w:type="character" w:customStyle="1" w:styleId="143">
    <w:name w:val="列表段落 字符1"/>
    <w:qFormat/>
    <w:locked/>
    <w:uiPriority w:val="34"/>
    <w:rPr>
      <w:rFonts w:eastAsia="Calibri"/>
      <w:szCs w:val="22"/>
      <w:lang w:val="en-GB" w:eastAsia="en-US"/>
    </w:rPr>
  </w:style>
  <w:style w:type="paragraph" w:customStyle="1" w:styleId="144">
    <w:name w:val="NW"/>
    <w:basedOn w:val="1"/>
    <w:qFormat/>
    <w:uiPriority w:val="0"/>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 w:type="paragraph" w:customStyle="1" w:styleId="145">
    <w:name w:val="B3"/>
    <w:basedOn w:val="1"/>
    <w:qFormat/>
    <w:uiPriority w:val="0"/>
    <w:pPr>
      <w:spacing w:after="180" w:line="240" w:lineRule="auto"/>
      <w:ind w:left="1135" w:hanging="284"/>
    </w:pPr>
    <w:rPr>
      <w:rFonts w:eastAsia="MS Mincho"/>
      <w:szCs w:val="20"/>
      <w:lang w:val="en-GB" w:eastAsia="en-US"/>
    </w:rPr>
  </w:style>
  <w:style w:type="paragraph" w:customStyle="1" w:styleId="146">
    <w:name w:val="B4"/>
    <w:basedOn w:val="1"/>
    <w:qFormat/>
    <w:uiPriority w:val="0"/>
    <w:pPr>
      <w:spacing w:after="180" w:line="240" w:lineRule="auto"/>
      <w:ind w:left="1418" w:hanging="284"/>
    </w:pPr>
    <w:rPr>
      <w:rFonts w:eastAsia="MS Mincho"/>
      <w:szCs w:val="20"/>
      <w:lang w:val="en-GB" w:eastAsia="en-US"/>
    </w:rPr>
  </w:style>
  <w:style w:type="paragraph" w:customStyle="1" w:styleId="147">
    <w:name w:val="!ZTE-Proposal-2021 + 段前: 0.5 行 段后: 0.5 行"/>
    <w:basedOn w:val="1"/>
    <w:qFormat/>
    <w:uiPriority w:val="0"/>
    <w:pPr>
      <w:numPr>
        <w:ilvl w:val="0"/>
        <w:numId w:val="9"/>
      </w:numPr>
      <w:spacing w:before="30" w:beforeLines="30" w:after="30" w:afterLines="30" w:line="288" w:lineRule="auto"/>
    </w:pPr>
    <w:rPr>
      <w:rFonts w:cs="宋体" w:eastAsiaTheme="minorEastAsia"/>
      <w:b/>
      <w:bCs/>
      <w:i/>
      <w:iCs/>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4FAA-70C8-4062-8C82-A28034ED04D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43</Pages>
  <Words>17621</Words>
  <Characters>100445</Characters>
  <Lines>837</Lines>
  <Paragraphs>235</Paragraphs>
  <TotalTime>7</TotalTime>
  <ScaleCrop>false</ScaleCrop>
  <LinksUpToDate>false</LinksUpToDate>
  <CharactersWithSpaces>117831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2024-05-10T11:38:00Z</dcterms:created>
  <dc:creator>ZTE</dc:creator>
  <cp:lastModifiedBy>10303991</cp:lastModifiedBy>
  <dcterms:modified xsi:type="dcterms:W3CDTF">2024-11-08T07:41:29Z</dcterms:modified>
  <dc:title>3GPP TSG-RAN WG1</dc:title>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